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This section organizes clustering by modeling family instead of treating all unsupervised methods as interchangeable. The numbering now leaves visible gaps so the reader can distinguish the introductory partitional/medoid methods from density-based clustering and from tuning-oriented workflows.</w:t>
      </w:r>
    </w:p>
    <w:p>
      <w:pPr>
        <w:pStyle w:val="BodyText"/>
      </w:pPr>
      <w:r>
        <w:t xml:space="preserve">A good reading order is to start with centroid-based clustering, compare it with medoid-based clustering, then move to density-based discovery, and only after that inspect clustering model selection.</w:t>
      </w:r>
    </w:p>
    <w:bookmarkStart w:id="11" w:name="partition-based-foundations"/>
    <w:p>
      <w:pPr>
        <w:pStyle w:val="Heading2"/>
      </w:pPr>
      <w:r>
        <w:t xml:space="preserve">Partition-Based Foundations</w:t>
      </w:r>
    </w:p>
    <w:p>
      <w:pPr>
        <w:pStyle w:val="FirstParagraph"/>
      </w:pPr>
      <w:r>
        <w:t xml:space="preserve">These examples are the fastest way to understand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represents unsupervised learners, cluster assignments, and evaluation outputs.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01-partitional-kmeans.md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clu_kmeans</w:t>
      </w:r>
      <w:r>
        <w:t xml:space="preserve">: centroid-based clustering with Euclidean partitions.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02-medoid-pam.md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clu_pam</w:t>
      </w:r>
      <w:r>
        <w:t xml:space="preserve">: medoid-based clustering, often more robust to extreme points.</w:t>
      </w:r>
    </w:p>
    <w:bookmarkEnd w:id="11"/>
    <w:bookmarkStart w:id="13" w:name="density-based-clustering"/>
    <w:p>
      <w:pPr>
        <w:pStyle w:val="Heading2"/>
      </w:pPr>
      <w:r>
        <w:t xml:space="preserve">Density-Based Clustering</w:t>
      </w:r>
    </w:p>
    <w:p>
      <w:pPr>
        <w:pStyle w:val="FirstParagraph"/>
      </w:pPr>
      <w:r>
        <w:t xml:space="preserve">This block separates methods that detect dense regions from those that force every instance into a centroid or medoid partition.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10-density-dbscan.md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clu_dbscan</w:t>
      </w:r>
      <w:r>
        <w:t xml:space="preserve">: groups dense neighborhoods and can leave noise points unassigned.</w:t>
      </w:r>
    </w:p>
    <w:bookmarkEnd w:id="13"/>
    <w:bookmarkStart w:id="18" w:name="soft-model-based-and-hierarchical-views"/>
    <w:p>
      <w:pPr>
        <w:pStyle w:val="Heading2"/>
      </w:pPr>
      <w:r>
        <w:t xml:space="preserve">Soft, Model-Based, and Hierarchical Views</w:t>
      </w:r>
    </w:p>
    <w:p>
      <w:pPr>
        <w:pStyle w:val="FirstParagraph"/>
      </w:pPr>
      <w:r>
        <w:t xml:space="preserve">This block widens the clustering perspective beyond hard partitions. These methods are useful when the analyst wants memberships, probabilistic mixtures, hierarchical merge structure, or graph communities.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11-fuzzy-cmeans.md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clustering with membership degrees.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12-model-based-gmm.md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13-hierarchical-hclust.md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14-graph-louvain.md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bookmarkEnd w:id="18"/>
    <w:bookmarkStart w:id="21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block separates evaluation customization from hyperparameter search. The first example shows how to change metric lists explicitly; the second uses those ideas inside the tuning workflow.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19-custom-evaluation.md</w:t>
        </w:r>
      </w:hyperlink>
      <w:r>
        <w:t xml:space="preserve"> </w:t>
      </w:r>
      <w:r>
        <w:t xml:space="preserve">- inspect default clustering metrics and replace them with a custom evaluation set.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compares clustering configurations through the DAL tuning workflow.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2026-05-14T00:54:49Z</dcterms:created>
  <dcterms:modified xsi:type="dcterms:W3CDTF">2026-05-14T00:54:49Z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