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plot_boxplot_class</w:t>
      </w:r>
      <w:r>
        <w:t xml:space="preserve">: boxplots of one numeric attribute grouped by a class label.</w:t>
      </w:r>
    </w:p>
    <w:p>
      <w:pPr>
        <w:pStyle w:val="BodyText"/>
      </w:pPr>
      <w:r>
        <w:t xml:space="preserve">Didactic goal: complement the plain boxplot example with a grouped version. This is often the more useful view when the analytical question is how the distribution changes across classes.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</w:p>
    <w:p>
      <w:pPr>
        <w:pStyle w:val="SourceCode"/>
      </w:pP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plot_boxplot_class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13-distribution-boxplot-by-class_files/0f933b9234c577bc5feda74d228279a26e6db05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2026-05-14T00:55:04Z</dcterms:created>
  <dcterms:modified xsi:type="dcterms:W3CDTF">2026-05-14T00:55:04Z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