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reg_mlp</w:t>
      </w:r>
      <w:r>
        <w:t xml:space="preserve">: Multilayer Perceptron for regression.</w:t>
      </w:r>
      <w:r>
        <w:t xml:space="preserve"> </w:t>
      </w:r>
      <w:r>
        <w:t xml:space="preserve">- Main parameters: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decay</w:t>
      </w:r>
      <w:r>
        <w:t xml:space="preserve">.</w:t>
      </w:r>
    </w:p>
    <w:p>
      <w:pPr>
        <w:pStyle w:val="BodyText"/>
      </w:pPr>
      <w:r>
        <w:t xml:space="preserve">Didactic goal: keep the same regression line of experiment and change only the learner to a neural regressor.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8.209471 0.1080353 0.8968292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smape        R2</w:t>
      </w:r>
      <w:r>
        <w:br/>
      </w:r>
      <w:r>
        <w:rPr>
          <w:rStyle w:val="VerbatimChar"/>
        </w:rPr>
        <w:t xml:space="preserve">## 1 11.09958 0.124174 0.8919002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Bishop, C. M. (1995). Neural Networks for Pattern Recognition.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2026-05-14T00:55:27Z</dcterms:created>
  <dcterms:modified xsi:type="dcterms:W3CDTF">2026-05-14T00:55:27Z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