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utility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reg_tune</w:t>
      </w:r>
      <w:r>
        <w:t xml:space="preserve">: hyperparameter search for regression models over ranges defined in</w:t>
      </w:r>
      <w:r>
        <w:t xml:space="preserve"> </w:t>
      </w:r>
      <w:r>
        <w:rPr>
          <w:rStyle w:val="VerbatimChar"/>
        </w:rPr>
        <w:t xml:space="preserve">ranges</w:t>
      </w:r>
      <w:r>
        <w:t xml:space="preserve">.</w:t>
      </w:r>
      <w:r>
        <w:t xml:space="preserve"> </w:t>
      </w:r>
      <w:r>
        <w:t xml:space="preserve">- In this example the tuned base learner is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.</w:t>
      </w:r>
    </w:p>
    <w:p>
      <w:pPr>
        <w:pStyle w:val="BodyText"/>
      </w:pPr>
      <w:r>
        <w:t xml:space="preserve">Didactic goal: preserve the same regression line of experiment and treat tuning as a change in model configuration rather than as a separate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medv</w:t>
      </w:r>
      <w:r>
        <w:t xml:space="preserve"> </w:t>
      </w:r>
      <w:r>
        <w:t xml:space="preserve">and reproducible train/test split.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3.093724 0.07190626 0.9611203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smape        R2</w:t>
      </w:r>
      <w:r>
        <w:br/>
      </w:r>
      <w:r>
        <w:rPr>
          <w:rStyle w:val="VerbatimChar"/>
        </w:rPr>
        <w:t xml:space="preserve">## 1 9.927719 0.105222 0.9033131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workflow is still split, fit, predict, and evaluate.</w:t>
      </w:r>
      <w:r>
        <w:t xml:space="preserve"> </w:t>
      </w:r>
      <w:r>
        <w:t xml:space="preserve">- Tuning changes how the regressor is chosen, not how the line of experiment is structured.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Kohavi, R. (1995). A Study of Cross-Validation and Bootstrap for Accuracy Estimation and Model Selection.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2026-05-14T00:55:33Z</dcterms:created>
  <dcterms:modified xsi:type="dcterms:W3CDTF">2026-05-14T00:55:33Z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