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In practice, this is one of the most common preprocessing steps before distance-based or scale-sensitive learners. The value of the example is not only the call to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but the before/after comparison.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Numeric attributes that originally had different ranges are now placed on a common scale.</w:t>
      </w:r>
      <w:r>
        <w:t xml:space="preserve"> </w:t>
      </w:r>
      <w:r>
        <w:t xml:space="preserve">- The categorical target remains untouched, which is what you usually want in supervised tasks.</w:t>
      </w:r>
    </w:p>
    <w:p>
      <w:pPr>
        <w:pStyle w:val="BodyText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Fitting the normalization object on the full dataset before the train/test split.</w:t>
      </w:r>
      <w:r>
        <w:t xml:space="preserve"> </w:t>
      </w:r>
      <w:r>
        <w:t xml:space="preserve">- Expecting normalization to improve every model equally.</w:t>
      </w:r>
      <w:r>
        <w:t xml:space="preserve"> </w:t>
      </w:r>
      <w:r>
        <w:t xml:space="preserve">- Forgetting that interpretability changes when the variables are shown only in the transformed scale.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2026-05-14T00:55:37Z</dcterms:created>
  <dcterms:modified xsi:type="dcterms:W3CDTF">2026-05-14T00:55:37Z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