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result using the metric configuration stored in the model. Internal metrics use only the data and the partition; external metrics compare the partition with a reference label kept aside for interpretation.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0.5047688 maximize internal</w:t>
      </w:r>
      <w:r>
        <w:br/>
      </w:r>
      <w:r>
        <w:rPr>
          <w:rStyle w:val="VerbatimChar"/>
        </w:rPr>
        <w:t xml:space="preserve">## 2 davies_bouldin 0.7602771 minimize internal</w:t>
      </w:r>
      <w:r>
        <w:br/>
      </w:r>
      <w:r>
        <w:rPr>
          <w:rStyle w:val="VerbatimChar"/>
        </w:rPr>
        <w:t xml:space="preserve">## 3        entropy 0.4177655 minimize external</w:t>
      </w:r>
      <w:r>
        <w:br/>
      </w:r>
      <w:r>
        <w:rPr>
          <w:rStyle w:val="VerbatimChar"/>
        </w:rPr>
        <w:t xml:space="preserve">## 4         purity 0.8866667 maximize external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2026-05-13T02:49:30Z</dcterms:created>
  <dcterms:modified xsi:type="dcterms:W3CDTF">2026-05-13T02:49:30Z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