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10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10"/>
    <w:bookmarkStart w:id="13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13"/>
    <w:bookmarkStart w:id="16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p>
      <w:pPr>
        <w:pStyle w:val="FirstParagraph"/>
      </w:pPr>
      <w:r>
        <w:t xml:space="preserve">Formula-based linear regression with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follows the same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contract, even though it is not shown as a separate numbered example in this sequence.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1" Target="/examples/regression/02-instance-based-knn.md" TargetMode="External" /><Relationship Type="http://schemas.openxmlformats.org/officeDocument/2006/relationships/hyperlink" Id="rId12" Target="/examples/regression/03-ensemble-random-forest.md" TargetMode="External" /><Relationship Type="http://schemas.openxmlformats.org/officeDocument/2006/relationships/hyperlink" Id="rId14" Target="/examples/regression/04-margin-svm.md" TargetMode="External" /><Relationship Type="http://schemas.openxmlformats.org/officeDocument/2006/relationships/hyperlink" Id="rId15" Target="/examples/regression/05-neural-mlp.md" TargetMode="External" /><Relationship Type="http://schemas.openxmlformats.org/officeDocument/2006/relationships/hyperlink" Id="rId17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2026-05-13T02:50:07Z</dcterms:created>
  <dcterms:modified xsi:type="dcterms:W3CDTF">2026-05-13T02:50:07Z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