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mining. The central analytical question is no longer “which items co-occur?” but “which ordered event structures recur often enough to matter?”</w:t>
      </w:r>
    </w:p>
    <w:p>
      <w:pPr>
        <w:pStyle w:val="BodyText"/>
      </w:pPr>
      <w:r>
        <w:t xml:space="preserve">Didactic goal: read this example as a sequence-discovery workflow. The most important lesson is that order-sensitive mining can still follow the same Experiment Line: configure the object, fit it, discover patterns, evaluate the result.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Pattern mining - cspade sequences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 from the example dataset distributed with</w:t>
      </w:r>
      <w:r>
        <w:t xml:space="preserve"> </w:t>
      </w:r>
      <w:r>
        <w:rPr>
          <w:rStyle w:val="VerbatimChar"/>
        </w:rPr>
        <w:t xml:space="preserve">arulesSequences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Configure the miner with support and sequence-size restrictions.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sequential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resulting sequence set.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remains central, but now the patterns are ordered structures rather than unordered itemsets.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maxlen</w:t>
      </w:r>
      <w:r>
        <w:t xml:space="preserve"> </w:t>
      </w:r>
      <w:r>
        <w:t xml:space="preserve">controls sequence complexity and can be decisive for keeping the result interpretable.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 discovered sequence family without pretending that this is a supervised learning problem.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Reading sequential patterns as if they were ordinary association rules.</w:t>
      </w:r>
      <w:r>
        <w:t xml:space="preserve"> </w:t>
      </w:r>
      <w:r>
        <w:t xml:space="preserve">- Using very loose support thresholds and letting the number of sequences explode.</w:t>
      </w:r>
      <w:r>
        <w:t xml:space="preserve"> </w:t>
      </w:r>
      <w:r>
        <w:t xml:space="preserve">- Ignoring sequence length when interpreting the result.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2026-05-13T05:08:06Z</dcterms:created>
  <dcterms:modified xsi:type="dcterms:W3CDTF">2026-05-13T05:08:06Z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