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cla_svm</w:t>
      </w:r>
      <w:r>
        <w:t xml:space="preserve">: Support Vector Machine for classification, maximizing the margin between classes.</w:t>
      </w:r>
      <w:r>
        <w:t xml:space="preserve"> </w:t>
      </w:r>
      <w:r>
        <w:t xml:space="preserve">- Common hyperparameters: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(penalty),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(insensitive-margin width),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(e.g., linear, radial, polynomial, sigmoid).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Support Vector Machine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the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after the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SVM: tune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20.000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kernel padrão; ajuste conforme necessário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and compute metrics.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2025-10-28T16:29:36Z</dcterms:created>
  <dcterms:modified xsi:type="dcterms:W3CDTF">2025-10-28T16:29:36Z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