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This example is less about SVM itself and more about disciplined experimentation. The important question is how to search for better configurations without losing the logic of a fair evaluation workflow.</w:t>
      </w:r>
    </w:p>
    <w:p>
      <w:pPr>
        <w:pStyle w:val="BodyText"/>
      </w:pPr>
      <w:r>
        <w:t xml:space="preserve">Didactic goal: understand tuning as an extension of the same experimental structure, not as a separate process detached from sampling and evaluation.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grid makes the search space explicit, which is useful for reproducibility.</w:t>
      </w:r>
      <w:r>
        <w:t xml:space="preserve"> </w:t>
      </w:r>
      <w:r>
        <w:t xml:space="preserve">- A larger grid is not automatically better; it only increases the search effort.</w:t>
      </w:r>
    </w:p>
    <w:p>
      <w:pPr>
        <w:pStyle w:val="BodyText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Using tuning without first defining a stable sampling protocol.</w:t>
      </w:r>
      <w:r>
        <w:t xml:space="preserve"> </w:t>
      </w:r>
      <w:r>
        <w:t xml:space="preserve">- Interpreting the tuned model only by the training metrics.</w:t>
      </w:r>
      <w:r>
        <w:t xml:space="preserve"> </w:t>
      </w:r>
      <w:r>
        <w:t xml:space="preserve">- Creating a very large search space before understanding the meaning of the hyperparameters.</w:t>
      </w:r>
    </w:p>
    <w:p>
      <w:pPr>
        <w:pStyle w:val="BodyText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2026-03-12T18:28:21Z</dcterms:created>
  <dcterms:modified xsi:type="dcterms:W3CDTF">2026-03-12T18:28:21Z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