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Example: tuning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inspect.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 for tuning validation.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Hyperparameter grid configuration and search training.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 with the best hyperparameters.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2.393491 0.05155025 0.9734081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13.61128 0.1297673 0.7738067</w:t>
      </w:r>
    </w:p>
    <w:p>
      <w:pPr>
        <w:pStyle w:val="FirstParagraph"/>
      </w:pPr>
      <w:r>
        <w:t xml:space="preserve">Example grids for other models.</w:t>
      </w:r>
    </w:p>
    <w:p>
      <w:pPr>
        <w:pStyle w:val="SourceCode"/>
      </w:pPr>
      <w:r>
        <w:rPr>
          <w:rStyle w:val="CommentTok"/>
        </w:rPr>
        <w:t xml:space="preserve"># Options for other models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2026-03-12T18:28:51Z</dcterms:created>
  <dcterms:modified xsi:type="dcterms:W3CDTF">2026-03-12T18:28:51Z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