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regression-examples"/>
    <w:p>
      <w:pPr>
        <w:pStyle w:val="Heading1"/>
      </w:pPr>
      <w:r>
        <w:t xml:space="preserve">Regression Examples</w:t>
      </w:r>
    </w:p>
    <w:p>
      <w:pPr>
        <w:pStyle w:val="FirstParagraph"/>
      </w:pPr>
      <w:r>
        <w:t xml:space="preserve">This section reorganizes regression examples as a sequence of modeling ideas. Instead of listing methods only by their class names, the examples are grouped according to the kind of predictive reasoning they illustrate.</w:t>
      </w:r>
    </w:p>
    <w:p>
      <w:pPr>
        <w:pStyle w:val="BodyText"/>
      </w:pPr>
      <w:r>
        <w:t xml:space="preserve">For learners, the main question here is: how do numeric prediction workflows stay stable while the modeling assumptions change?</w:t>
      </w:r>
    </w:p>
    <w:bookmarkStart w:id="21" w:name="interpretable-starting-point"/>
    <w:p>
      <w:pPr>
        <w:pStyle w:val="Heading2"/>
      </w:pPr>
      <w:r>
        <w:t xml:space="preserve">Interpretable Starting Point</w:t>
      </w:r>
    </w:p>
    <w:p>
      <w:pPr>
        <w:pStyle w:val="FirstParagraph"/>
      </w:pPr>
      <w:r>
        <w:t xml:space="preserve">Begin with a learner that is easy to explain and useful for understanding the flow of regression experiments.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01-interpretable-tree.md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reg_dtree</w:t>
      </w:r>
      <w:r>
        <w:t xml:space="preserve">: decision tree for regression. Partitions feature space and estimates values by leaf means; interpretable and can model nonlinearities.</w:t>
      </w:r>
    </w:p>
    <w:bookmarkEnd w:id="21"/>
    <w:bookmarkStart w:id="24" w:name="neighborhood-and-ensemble-models"/>
    <w:p>
      <w:pPr>
        <w:pStyle w:val="Heading2"/>
      </w:pPr>
      <w:r>
        <w:t xml:space="preserve">Neighborhood and Ensemble Models</w:t>
      </w:r>
    </w:p>
    <w:p>
      <w:pPr>
        <w:pStyle w:val="FirstParagraph"/>
      </w:pPr>
      <w:r>
        <w:t xml:space="preserve">These examples move to methods that either borrow information from nearby observations or aggregate many weak predictors.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02-instance-based-knn.md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reg_knn</w:t>
      </w:r>
      <w:r>
        <w:t xml:space="preserve">: k-Nearest Neighbors for regression. Predicts the mean (or weighted mean) of targets from the k nearest neighbors.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03-ensemble-random-forest.md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reg_rf</w:t>
      </w:r>
      <w:r>
        <w:t xml:space="preserve">: Random Forest for regression. Averages many decision trees trained with randomness; tends to reduce variance.</w:t>
      </w:r>
    </w:p>
    <w:bookmarkEnd w:id="24"/>
    <w:bookmarkStart w:id="27" w:name="flexible-nonlinear-models"/>
    <w:p>
      <w:pPr>
        <w:pStyle w:val="Heading2"/>
      </w:pPr>
      <w:r>
        <w:t xml:space="preserve">Flexible Nonlinear Models</w:t>
      </w:r>
    </w:p>
    <w:p>
      <w:pPr>
        <w:pStyle w:val="FirstParagraph"/>
      </w:pPr>
      <w:r>
        <w:t xml:space="preserve">These learners are useful when the relationship between predictors and target is more complex and less easily explained by a single tree.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04-margin-svm.md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reg_svm</w:t>
      </w:r>
      <w:r>
        <w:t xml:space="preserve">: Support Vector Regression (SVR). Models a function with an error-insensitive margin up to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 </w:t>
      </w:r>
      <w:r>
        <w:t xml:space="preserve">and penalizes violations via</w:t>
      </w:r>
      <w:r>
        <w:t xml:space="preserve"> </w:t>
      </w:r>
      <w:r>
        <w:rPr>
          <w:rStyle w:val="VerbatimChar"/>
        </w:rPr>
        <w:t xml:space="preserve">cost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05-neural-mlp.md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reg_mlp</w:t>
      </w:r>
      <w:r>
        <w:t xml:space="preserve">: Multilayer Perceptron (neural network) for regression.</w:t>
      </w:r>
    </w:p>
    <w:bookmarkEnd w:id="27"/>
    <w:bookmarkStart w:id="29" w:name="model-selection"/>
    <w:p>
      <w:pPr>
        <w:pStyle w:val="Heading2"/>
      </w:pPr>
      <w:r>
        <w:t xml:space="preserve">Model Selection</w:t>
      </w:r>
    </w:p>
    <w:p>
      <w:pPr>
        <w:pStyle w:val="FirstParagraph"/>
      </w:pPr>
      <w:r>
        <w:t xml:space="preserve">The final example shows how tuning fits into the same regression workflow without changing the underlying experimental logic.</w:t>
      </w:r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06-model-selection-tuning.md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reg_tune</w:t>
      </w:r>
      <w:r>
        <w:t xml:space="preserve">: hyperparameter search for regression models over ranges in</w:t>
      </w:r>
      <w:r>
        <w:t xml:space="preserve"> </w:t>
      </w:r>
      <w:r>
        <w:rPr>
          <w:rStyle w:val="VerbatimChar"/>
        </w:rPr>
        <w:t xml:space="preserve">ranges</w:t>
      </w:r>
      <w:r>
        <w:t xml:space="preserve">.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/examples/regression/01-interpretable-tree.md" TargetMode="External" /><Relationship Type="http://schemas.openxmlformats.org/officeDocument/2006/relationships/hyperlink" Id="rId22" Target="/examples/regression/02-instance-based-knn.md" TargetMode="External" /><Relationship Type="http://schemas.openxmlformats.org/officeDocument/2006/relationships/hyperlink" Id="rId23" Target="/examples/regression/03-ensemble-random-forest.md" TargetMode="External" /><Relationship Type="http://schemas.openxmlformats.org/officeDocument/2006/relationships/hyperlink" Id="rId25" Target="/examples/regression/04-margin-svm.md" TargetMode="External" /><Relationship Type="http://schemas.openxmlformats.org/officeDocument/2006/relationships/hyperlink" Id="rId26" Target="/examples/regression/05-neural-mlp.md" TargetMode="External" /><Relationship Type="http://schemas.openxmlformats.org/officeDocument/2006/relationships/hyperlink" Id="rId28" Target="/examples/regression/06-model-selection-tun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/examples/regression/01-interpretable-tree.md" TargetMode="External" /><Relationship Type="http://schemas.openxmlformats.org/officeDocument/2006/relationships/hyperlink" Id="rId22" Target="/examples/regression/02-instance-based-knn.md" TargetMode="External" /><Relationship Type="http://schemas.openxmlformats.org/officeDocument/2006/relationships/hyperlink" Id="rId23" Target="/examples/regression/03-ensemble-random-forest.md" TargetMode="External" /><Relationship Type="http://schemas.openxmlformats.org/officeDocument/2006/relationships/hyperlink" Id="rId25" Target="/examples/regression/04-margin-svm.md" TargetMode="External" /><Relationship Type="http://schemas.openxmlformats.org/officeDocument/2006/relationships/hyperlink" Id="rId26" Target="/examples/regression/05-neural-mlp.md" TargetMode="External" /><Relationship Type="http://schemas.openxmlformats.org/officeDocument/2006/relationships/hyperlink" Id="rId28" Target="/examples/regression/06-model-selection-tun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2026-03-12T18:28:51Z</dcterms:created>
  <dcterms:modified xsi:type="dcterms:W3CDTF">2026-03-12T18:28:51Z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