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utorial-11---clustering-workflow"/>
    <w:p>
      <w:pPr>
        <w:pStyle w:val="Heading2"/>
      </w:pPr>
      <w:r>
        <w:t xml:space="preserve">Tutorial 11 - Clustering Workflow</w:t>
      </w:r>
    </w:p>
    <w:p>
      <w:pPr>
        <w:pStyle w:val="FirstParagraph"/>
      </w:pPr>
      <w:r>
        <w:t xml:space="preserve">Clustering changes the analytical setting because there is no explicit target to predict during training. Even so, the workflow is still structured: choose a method, fit it, obtain cluster assignments, and inspect the result.</w:t>
      </w:r>
    </w:p>
    <w:p>
      <w:pPr>
        <w:pStyle w:val="BodyText"/>
      </w:pPr>
      <w:r>
        <w:t xml:space="preserve">This tutorial also reinforces a recurring lesson from data mining: preprocessing can change unsupervised results substantially.</w:t>
      </w:r>
    </w:p>
    <w:p>
      <w:pPr>
        <w:pStyle w:val="SourceCode"/>
      </w:pP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Use only the numeric attributes of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for clustering.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Run K-means on the original scale.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38 50 62</w:t>
      </w:r>
    </w:p>
    <w:p>
      <w:pPr>
        <w:pStyle w:val="SourceCode"/>
      </w:pP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0.297    38 0.0754</w:t>
      </w:r>
      <w:r>
        <w:br/>
      </w:r>
      <w:r>
        <w:rPr>
          <w:rStyle w:val="VerbatimChar"/>
        </w:rPr>
        <w:t xml:space="preserve">## 2 2     0        50 0     </w:t>
      </w:r>
      <w:r>
        <w:br/>
      </w:r>
      <w:r>
        <w:rPr>
          <w:rStyle w:val="VerbatimChar"/>
        </w:rPr>
        <w:t xml:space="preserve">## 3 3     0.771    62 0.319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Now normalize the data and repeat the same clustering procedure. Because the method is unchanged, any difference is due mainly to the representation of the data.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x_norm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iris_norm[,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(model_norm, x_norm)</w:t>
      </w:r>
      <w:r>
        <w:br/>
      </w:r>
      <w:r>
        <w:rPr>
          <w:rStyle w:val="NormalTok"/>
        </w:rPr>
        <w:t xml:space="preserve">clu_norm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(model_norm, x_norm)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(clu_norm)</w:t>
      </w:r>
    </w:p>
    <w:p>
      <w:pPr>
        <w:pStyle w:val="SourceCode"/>
      </w:pPr>
      <w:r>
        <w:rPr>
          <w:rStyle w:val="VerbatimChar"/>
        </w:rPr>
        <w:t xml:space="preserve">## clu_norm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61 50 39</w:t>
      </w:r>
    </w:p>
    <w:p>
      <w:pPr>
        <w:pStyle w:val="SourceCode"/>
      </w:pPr>
      <w:r>
        <w:rPr>
          <w:rStyle w:val="FunctionTok"/>
        </w:rPr>
        <w:t xml:space="preserve">evaluate</w:t>
      </w:r>
      <w:r>
        <w:rPr>
          <w:rStyle w:val="NormalTok"/>
        </w:rPr>
        <w:t xml:space="preserve">(model_norm, clu_norm,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0.777    61 0.316</w:t>
      </w:r>
      <w:r>
        <w:br/>
      </w:r>
      <w:r>
        <w:rPr>
          <w:rStyle w:val="VerbatimChar"/>
        </w:rPr>
        <w:t xml:space="preserve">## 2 2     0        50 0    </w:t>
      </w:r>
      <w:r>
        <w:br/>
      </w:r>
      <w:r>
        <w:rPr>
          <w:rStyle w:val="VerbatimChar"/>
        </w:rPr>
        <w:t xml:space="preserve">## 3 3     0.391    39 0.102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0.4177655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This is an important lesson for beginners: in unsupervised learning, the data representation can matter as much as the algorithm.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2026-03-12T18:29:03Z</dcterms:created>
  <dcterms:modified xsi:type="dcterms:W3CDTF">2026-03-12T18:29:03Z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