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model-selection-examples"/>
    <w:p>
      <w:pPr>
        <w:pStyle w:val="Heading1"/>
      </w:pPr>
      <w:r>
        <w:t xml:space="preserve">Model Selection Examples</w:t>
      </w:r>
    </w:p>
    <w:p>
      <w:pPr>
        <w:pStyle w:val="FirstParagraph"/>
      </w:pPr>
      <w:r>
        <w:t xml:space="preserve">This block isolates hyperparameter search from the learner-introduction examples.</w:t>
      </w:r>
    </w:p>
    <w:p>
      <w:pPr>
        <w:pStyle w:val="BlockText"/>
      </w:pPr>
      <w:r>
        <w:t xml:space="preserve">Slide deck:</w:t>
      </w:r>
      <w:r>
        <w:t xml:space="preserve"> </w:t>
      </w:r>
      <w:r>
        <w:rPr>
          <w:rStyle w:val="VerbatimChar"/>
        </w:rPr>
        <w:t xml:space="preserve">d048-model-selection.pdf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20-model-selection-tuning.md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cla_tune</w:t>
      </w:r>
      <w:r>
        <w:t xml:space="preserve">: searches hyperparameter ranges while preserving the same Experiment Line workflow.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/examples/classification/model-selection/20-model-selection-tunin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/examples/classification/model-selection/20-model-selection-tunin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2026-09-20T20:15:58Z</dcterms:created>
  <dcterms:modified xsi:type="dcterms:W3CDTF">2026-09-20T20:15:58Z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