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neural-network-classifiers-examples"/>
    <w:p>
      <w:pPr>
        <w:pStyle w:val="Heading1"/>
      </w:pPr>
      <w:r>
        <w:t xml:space="preserve">Neural Network Classifiers Examples</w:t>
      </w:r>
    </w:p>
    <w:p>
      <w:pPr>
        <w:pStyle w:val="FirstParagraph"/>
      </w:pPr>
      <w:r>
        <w:t xml:space="preserve">Classifiers inspired by the human brain, composed of layers of interconnected artificial neurons.</w:t>
      </w:r>
    </w:p>
    <w:p>
      <w:pPr>
        <w:pStyle w:val="BlockText"/>
      </w:pPr>
      <w:r>
        <w:t xml:space="preserve">Slide deck:</w:t>
      </w:r>
      <w:r>
        <w:t xml:space="preserve"> </w:t>
      </w:r>
      <w:r>
        <w:rPr>
          <w:rStyle w:val="VerbatimChar"/>
        </w:rPr>
        <w:t xml:space="preserve">d047-neural-networks.pdf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14-neural-mlp.md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cla_mlp</w:t>
      </w:r>
      <w:r>
        <w:t xml:space="preserve">: multilayer perceptron for nonlinear classification.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classification/neural-networks/14-neural-ml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classification/neural-networks/14-neural-ml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2026-09-20T20:15:59Z</dcterms:created>
  <dcterms:modified xsi:type="dcterms:W3CDTF">2026-09-20T20:15:59Z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