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artition-based-foundations-examples"/>
    <w:p>
      <w:pPr>
        <w:pStyle w:val="Heading1"/>
      </w:pPr>
      <w:r>
        <w:t xml:space="preserve">Partition-Based Foundations Examples</w:t>
      </w:r>
    </w:p>
    <w:p>
      <w:pPr>
        <w:pStyle w:val="FirstParagraph"/>
      </w:pPr>
      <w:r>
        <w:t xml:space="preserve">These examples are the fastest way to understand how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represents unsupervised learners, cluster assignments, and evaluation outputs.</w:t>
      </w:r>
    </w:p>
    <w:p>
      <w:pPr>
        <w:pStyle w:val="BlockText"/>
      </w:pPr>
      <w:r>
        <w:t xml:space="preserve">Slide deck:</w:t>
      </w:r>
      <w:r>
        <w:t xml:space="preserve"> </w:t>
      </w:r>
      <w:r>
        <w:rPr>
          <w:rStyle w:val="VerbatimChar"/>
        </w:rPr>
        <w:t xml:space="preserve">d061-clustering.pdf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01-partitional-kmeans.md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clu_kmeans</w:t>
      </w:r>
      <w:r>
        <w:t xml:space="preserve">: centroid-based clustering with Euclidean partitions.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02-medoid-pam.md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clu_pam</w:t>
      </w:r>
      <w:r>
        <w:t xml:space="preserve">: medoid-based clustering, often more robust to extreme points.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clustering/partitional/01-partitional-kmeans.md" TargetMode="External" /><Relationship Type="http://schemas.openxmlformats.org/officeDocument/2006/relationships/hyperlink" Id="rId10" Target="/examples/clustering/partitional/02-medoid-p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clustering/partitional/01-partitional-kmeans.md" TargetMode="External" /><Relationship Type="http://schemas.openxmlformats.org/officeDocument/2006/relationships/hyperlink" Id="rId10" Target="/examples/clustering/partitional/02-medoid-p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2026-09-20T20:16:13Z</dcterms:created>
  <dcterms:modified xsi:type="dcterms:W3CDTF">2026-09-20T20:16:13Z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