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graphics-examples"/>
    <w:p>
      <w:pPr>
        <w:pStyle w:val="Heading1"/>
      </w:pPr>
      <w:r>
        <w:t xml:space="preserve">Graphics Examples</w:t>
      </w:r>
    </w:p>
    <w:p>
      <w:pPr>
        <w:pStyle w:val="FirstParagraph"/>
      </w:pPr>
      <w:r>
        <w:t xml:space="preserve">This section groups plots by analytical question instead of by helper name, one subfolder per slide deck.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Category Comparison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d071-graphics.pdf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Distribution, Relationship, Time-Series, and Export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d072-distribution.pdf</w:t>
      </w:r>
      <w:r>
        <w:t xml:space="preserve"> </w:t>
      </w:r>
      <w:r>
        <w:t xml:space="preserve">(bundles four themes in one deck today; see that folder’s README for the recommended future split)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omparison/README.Rmd" TargetMode="External" /><Relationship Type="http://schemas.openxmlformats.org/officeDocument/2006/relationships/hyperlink" Id="rId10" Target="distribution/README.R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omparison/README.Rmd" TargetMode="External" /><Relationship Type="http://schemas.openxmlformats.org/officeDocument/2006/relationships/hyperlink" Id="rId10" Target="distribution/README.R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2026-09-20T20:17:13Z</dcterms:created>
  <dcterms:modified xsi:type="dcterms:W3CDTF">2026-09-20T20:17:13Z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