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eyond-linear-regression-examples"/>
    <w:p>
      <w:pPr>
        <w:pStyle w:val="Heading1"/>
      </w:pPr>
      <w:r>
        <w:t xml:space="preserve">Beyond Linear Regression Examples</w:t>
      </w:r>
    </w:p>
    <w:p>
      <w:pPr>
        <w:pStyle w:val="FirstParagraph"/>
      </w:pPr>
      <w:r>
        <w:t xml:space="preserve">Non-parametric methods that make no assumptions about the underlying functional form: tree-based methods and neighborhood-based methods.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d052-beyond-linear-regression.pdf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01-interpretable-tree.md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reg_dtree</w:t>
      </w:r>
      <w:r>
        <w:t xml:space="preserve">: regression tree with rule-like splits and easy inspection.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10-instance-based-knn.md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reg_knn</w:t>
      </w:r>
      <w:r>
        <w:t xml:space="preserve">: local prediction by nearby cases.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regression/beyond-linear/01-interpretable-tree.md" TargetMode="External" /><Relationship Type="http://schemas.openxmlformats.org/officeDocument/2006/relationships/hyperlink" Id="rId10" Target="/examples/regression/beyond-linear/10-instance-based-kn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regression/beyond-linear/01-interpretable-tree.md" TargetMode="External" /><Relationship Type="http://schemas.openxmlformats.org/officeDocument/2006/relationships/hyperlink" Id="rId10" Target="/examples/regression/beyond-linear/10-instance-based-kn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2026-09-20T20:17:21Z</dcterms:created>
  <dcterms:modified xsi:type="dcterms:W3CDTF">2026-09-20T20:17:21Z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