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ensemble-regression-examples"/>
    <w:p>
      <w:pPr>
        <w:pStyle w:val="Heading1"/>
      </w:pPr>
      <w:r>
        <w:t xml:space="preserve">Ensemble Regression Examples</w:t>
      </w:r>
    </w:p>
    <w:p>
      <w:pPr>
        <w:pStyle w:val="FirstParagraph"/>
      </w:pPr>
      <w:r>
        <w:t xml:space="preserve">Ensemble methods combine predictions from multiple individual models to achieve superior predictive performance compared to any single model.</w:t>
      </w:r>
    </w:p>
    <w:p>
      <w:pPr>
        <w:pStyle w:val="BlockText"/>
      </w:pPr>
      <w:r>
        <w:t xml:space="preserve">Slide deck:</w:t>
      </w:r>
      <w:r>
        <w:t xml:space="preserve"> </w:t>
      </w:r>
      <w:r>
        <w:rPr>
          <w:rStyle w:val="VerbatimChar"/>
        </w:rPr>
        <w:t xml:space="preserve">d053-ensemble-regression.pdf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20-ensemble-random-forest.md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reg_rf</w:t>
      </w:r>
      <w:r>
        <w:t xml:space="preserve">: tree ensemble for robust nonlinear regression.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examples/regression/ensemble/20-ensemble-random-fores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examples/regression/ensemble/20-ensemble-random-fores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2026-09-20T20:17:22Z</dcterms:created>
  <dcterms:modified xsi:type="dcterms:W3CDTF">2026-09-20T20:17:22Z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