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inear-regression-examples"/>
    <w:p>
      <w:pPr>
        <w:pStyle w:val="Heading1"/>
      </w:pPr>
      <w:r>
        <w:t xml:space="preserve">Linear Regression Examples</w:t>
      </w:r>
    </w:p>
    <w:p>
      <w:pPr>
        <w:pStyle w:val="FirstParagraph"/>
      </w:pPr>
      <w:r>
        <w:t xml:space="preserve">A focused guide to linear regression, covering both the theoretical foundations and practical implementation.</w:t>
      </w:r>
    </w:p>
    <w:p>
      <w:pPr>
        <w:pStyle w:val="BlockText"/>
      </w:pPr>
      <w:r>
        <w:t xml:space="preserve">Slide deck:</w:t>
      </w:r>
      <w:r>
        <w:t xml:space="preserve"> </w:t>
      </w:r>
      <w:r>
        <w:rPr>
          <w:rStyle w:val="VerbatimChar"/>
        </w:rPr>
        <w:t xml:space="preserve">d051-regression.pdf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11-linear-model.md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reg_lm</w:t>
      </w:r>
      <w:r>
        <w:t xml:space="preserve">: linear regression baseline for numeric prediction.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regression/linear/11-linear-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regression/linear/11-linear-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2026-09-20T20:17:25Z</dcterms:created>
  <dcterms:modified xsi:type="dcterms:W3CDTF">2026-09-20T20:17:25Z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