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odel-selection-examples"/>
    <w:p>
      <w:pPr>
        <w:pStyle w:val="Heading1"/>
      </w:pPr>
      <w:r>
        <w:t xml:space="preserve">Model Selection Examples</w:t>
      </w:r>
    </w:p>
    <w:p>
      <w:pPr>
        <w:pStyle w:val="FirstParagraph"/>
      </w:pPr>
      <w:r>
        <w:t xml:space="preserve">Hyperparameter optimization for regression models, searching the parameter space to maximize predictive performance and prevent overfitting.</w:t>
      </w:r>
    </w:p>
    <w:p>
      <w:pPr>
        <w:pStyle w:val="BlockText"/>
      </w:pPr>
      <w:r>
        <w:t xml:space="preserve">Slide deck:</w:t>
      </w:r>
      <w:r>
        <w:t xml:space="preserve"> </w:t>
      </w:r>
      <w:r>
        <w:rPr>
          <w:rStyle w:val="VerbatimChar"/>
        </w:rPr>
        <w:t xml:space="preserve">d055-hyper-regression.pdf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50-model-selection-tuning.md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reg_tune</w:t>
      </w:r>
      <w:r>
        <w:t xml:space="preserve">: searches hyperparameter settings for regression models in a reproducible workflow.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/examples/regression/model-selection/50-model-selection-tuni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examples/regression/model-selection/50-model-selection-tun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2026-09-20T20:17:47Z</dcterms:created>
  <dcterms:modified xsi:type="dcterms:W3CDTF">2026-09-20T20:17:47Z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