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alancing-examples"/>
    <w:p>
      <w:pPr>
        <w:pStyle w:val="Heading1"/>
      </w:pPr>
      <w:r>
        <w:t xml:space="preserve">Balancing Examples</w:t>
      </w:r>
    </w:p>
    <w:p>
      <w:pPr>
        <w:pStyle w:val="FirstParagraph"/>
      </w:pPr>
      <w:r>
        <w:t xml:space="preserve">These examples correct class imbalance after the earlier variable transformations are already defined.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d037-balancing.pdf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50-balancing-oversampling.md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bal_oversampling</w:t>
      </w:r>
      <w:r>
        <w:t xml:space="preserve">: oversampling by replication or local SMOTE.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51-balancing-subsampling.md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bal_subsampling</w:t>
      </w:r>
      <w:r>
        <w:t xml:space="preserve">: undersampling to reduce majority-class dominance.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transf/balancing/50-balancing-oversampling.md" TargetMode="External" /><Relationship Type="http://schemas.openxmlformats.org/officeDocument/2006/relationships/hyperlink" Id="rId10" Target="/examples/transf/balancing/51-balancing-subsampl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transf/balancing/50-balancing-oversampling.md" TargetMode="External" /><Relationship Type="http://schemas.openxmlformats.org/officeDocument/2006/relationships/hyperlink" Id="rId10" Target="/examples/transf/balancing/51-balancing-subsampl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2026-09-20T20:17:49Z</dcterms:created>
  <dcterms:modified xsi:type="dcterms:W3CDTF">2026-09-20T20:17:49Z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