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2---model-comparison"/>
    <w:p>
      <w:pPr>
        <w:pStyle w:val="Heading2"/>
      </w:pPr>
      <w:r>
        <w:t xml:space="preserve">Tutorial 12 - Model Comparison</w:t>
      </w:r>
    </w:p>
    <w:p>
      <w:pPr>
        <w:pStyle w:val="FirstParagraph"/>
      </w:pPr>
      <w:r>
        <w:t xml:space="preserve">Once the baseline and the evaluation logic are clear, the next step is to compare multiple learners under the same conditions. The important idea is fairness: same dataset, same split, same metrics, different models.</w:t>
      </w:r>
    </w:p>
    <w:p>
      <w:pPr>
        <w:pStyle w:val="BodyText"/>
      </w:pPr>
      <w:r>
        <w:t xml:space="preserve">This is where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becomes useful as an experimental framework rather than just a collection of isolated functions.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one shared train/test split. This keeps the comparison controlled.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Define a small group of learners. The set mixes a baseline, a local method, a tree, and an ensemble so the reader sees different model families.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knn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evaluate each learner using the same protocol.</w:t>
      </w:r>
    </w:p>
    <w:p>
      <w:pPr>
        <w:pStyle w:val="SourceCode"/>
      </w:pP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iris_test)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$majority</w:t>
      </w:r>
      <w:r>
        <w:br/>
      </w: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$tree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$knn</w:t>
      </w:r>
      <w:r>
        <w:br/>
      </w: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0.9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$rf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At this stage, the main pedagogical gain is methodological: the learner changes, but the experiment design stays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2026-09-20T20:18:09Z</dcterms:created>
  <dcterms:modified xsi:type="dcterms:W3CDTF">2026-09-20T20:18:09Z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