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1---regression-workflow"/>
    <w:p>
      <w:pPr>
        <w:pStyle w:val="Heading2"/>
      </w:pPr>
      <w:r>
        <w:t xml:space="preserve">Tutorial 21 -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 This same</w:t>
      </w:r>
      <w:r>
        <w:t xml:space="preserve"> </w:t>
      </w:r>
      <w:r>
        <w:rPr>
          <w:rStyle w:val="VerbatimChar"/>
        </w:rPr>
        <w:t xml:space="preserve">fit() -&gt; predict() -&gt; evaluate()</w:t>
      </w:r>
      <w:r>
        <w:t xml:space="preserve"> </w:t>
      </w:r>
      <w:r>
        <w:t xml:space="preserve">contract is also what allows formula-based models such as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and tuning wrappers such as</w:t>
      </w:r>
      <w:r>
        <w:t xml:space="preserve"> </w:t>
      </w:r>
      <w:r>
        <w:rPr>
          <w:rStyle w:val="VerbatimChar"/>
        </w:rPr>
        <w:t xml:space="preserve">reg_tune()</w:t>
      </w:r>
      <w:r>
        <w:t xml:space="preserve"> </w:t>
      </w:r>
      <w:r>
        <w:t xml:space="preserve">to integrate into the same Experiment Line.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2026-09-20T20:18:11Z</dcterms:created>
  <dcterms:modified xsi:type="dcterms:W3CDTF">2026-09-20T20:18:11Z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