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31---custom-extension"/>
    <w:p>
      <w:pPr>
        <w:pStyle w:val="Heading2"/>
      </w:pPr>
      <w:r>
        <w:t xml:space="preserve">Tutorial 31 - Custom Extension</w:t>
      </w:r>
    </w:p>
    <w:p>
      <w:pPr>
        <w:pStyle w:val="FirstParagraph"/>
      </w:pPr>
      <w:r>
        <w:t xml:space="preserve">One of the strongest ideas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is extensibility. A researcher may want to use a method that is not built into the package, but still keep the same Experiment Line workflow.</w:t>
      </w:r>
    </w:p>
    <w:p>
      <w:pPr>
        <w:pStyle w:val="BodyText"/>
      </w:pPr>
      <w:r>
        <w:t xml:space="preserve">This tutorial revisits that idea with a compact custom classifier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. The important lesson is not the specific backend; it is the integration pattern.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Define a constructor that stores the learner configuration. This is the object the user will instantiate before training.</w:t>
      </w:r>
    </w:p>
    <w:p>
      <w:pPr>
        <w:pStyle w:val="SourceCode"/>
      </w:pPr>
      <w:r>
        <w:rPr>
          <w:rStyle w:val="NormalTok"/>
        </w:rPr>
        <w:t xml:space="preserve">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classification</w:t>
      </w:r>
      <w:r>
        <w:rPr>
          <w:rStyle w:val="NormalTok"/>
        </w:rPr>
        <w:t xml:space="preserve">(attribute, 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so the custom object can be trained inside the same workflow used by built-in learners.</w:t>
      </w:r>
    </w:p>
    <w:p>
      <w:pPr>
        <w:pStyle w:val="SourceCode"/>
      </w:pPr>
      <w:r>
        <w:rPr>
          <w:rStyle w:val="NormalTok"/>
        </w:rPr>
        <w:t xml:space="preserve">fit.cla_rsnns_custom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tutorial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adjust_factor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ilevels,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so the fitted object returns outputs in the format expected by the framework: one row per case and one column per class.</w:t>
      </w:r>
    </w:p>
    <w:p>
      <w:pPr>
        <w:pStyle w:val="SourceCode"/>
      </w:pPr>
      <w:r>
        <w:rPr>
          <w:rStyle w:val="NormalTok"/>
        </w:rPr>
        <w:t xml:space="preserve">predict.cla_rsnns_custom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</w:t>
      </w:r>
      <w:r>
        <w:br/>
      </w:r>
      <w:r>
        <w:rPr>
          <w:rStyle w:val="NormalTok"/>
        </w:rPr>
        <w:t xml:space="preserve">  prediction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Finally, use the custom learner exactly as you would use a built-in learner. This is the pedagogical payoff of the design.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The core message is that extending the framework should not require rewriting the entire experimental workflow.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2026-09-20T20:18:12Z</dcterms:created>
  <dcterms:modified xsi:type="dcterms:W3CDTF">2026-09-20T20:18:12Z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