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utorial-track"/>
    <w:p>
      <w:pPr>
        <w:pStyle w:val="Heading1"/>
      </w:pPr>
      <w:r>
        <w:t xml:space="preserve">Tutorial Track</w:t>
      </w:r>
    </w:p>
    <w:p>
      <w:pPr>
        <w:pStyle w:val="FirstParagraph"/>
      </w:pPr>
      <w:r>
        <w:t xml:space="preserve">This section presents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as a guided learning path. The numbering now leaves semantic gaps so the reader can distinguish preparation tutorials, classification-analysis tutorials, end-to-end workflow transfer, and closing topics such as visual reporting and extension.</w:t>
      </w:r>
    </w:p>
    <w:p>
      <w:pPr>
        <w:pStyle w:val="BodyText"/>
      </w:pPr>
      <w:r>
        <w:t xml:space="preserve">The sequence is cumulative. Each tutorial introduces one main decision in a data mining study, explains why that step matters, and keeps the code close to that learning objective.</w:t>
      </w:r>
    </w:p>
    <w:bookmarkStart w:id="13" w:name="foundations"/>
    <w:p>
      <w:pPr>
        <w:pStyle w:val="Heading2"/>
      </w:pPr>
      <w:r>
        <w:t xml:space="preserve">Foundations</w:t>
      </w:r>
    </w:p>
    <w:p>
      <w:pPr>
        <w:pStyle w:val="FirstParagraph"/>
      </w:pPr>
      <w:r>
        <w:t xml:space="preserve">Start here if you want the minimum workflow before comparing learners or tuning parameters.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01-first-experiment.md</w:t>
        </w:r>
      </w:hyperlink>
      <w:r>
        <w:t xml:space="preserve"> </w:t>
      </w:r>
      <w:r>
        <w:t xml:space="preserve">- understand the core Experiment Line cycle: split, fit, predict, evaluate.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02-sampling-strategy.md</w:t>
        </w:r>
      </w:hyperlink>
      <w:r>
        <w:t xml:space="preserve"> </w:t>
      </w:r>
      <w:r>
        <w:t xml:space="preserve">- see how train/test splitting and folds affect the quality of an experiment.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03-data-quality-and-cleaning.md</w:t>
        </w:r>
      </w:hyperlink>
      <w:r>
        <w:t xml:space="preserve"> </w:t>
      </w:r>
      <w:r>
        <w:t xml:space="preserve">- inspect missing values, outliers, and categorical transformations before modeling.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04-preprocessing-basics.md</w:t>
        </w:r>
      </w:hyperlink>
      <w:r>
        <w:t xml:space="preserve"> </w:t>
      </w:r>
      <w:r>
        <w:t xml:space="preserve">- normalize data and reduce redundant variables.</w:t>
      </w:r>
    </w:p>
    <w:bookmarkEnd w:id="13"/>
    <w:bookmarkStart w:id="18" w:name="classification-study-cycle"/>
    <w:p>
      <w:pPr>
        <w:pStyle w:val="Heading2"/>
      </w:pPr>
      <w:r>
        <w:t xml:space="preserve">Classification Study Cycle</w:t>
      </w:r>
    </w:p>
    <w:p>
      <w:pPr>
        <w:pStyle w:val="FirstParagraph"/>
      </w:pPr>
      <w:r>
        <w:t xml:space="preserve">This block keeps the reader inside one supervised task while varying the analytical question: baseline, metrics, comparison, and tuning.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10-baseline-classification.md</w:t>
        </w:r>
      </w:hyperlink>
      <w:r>
        <w:t xml:space="preserve"> </w:t>
      </w:r>
      <w:r>
        <w:t xml:space="preserve">- start with a baseline before trying stronger learners.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11-metrics-and-evaluation.md</w:t>
        </w:r>
      </w:hyperlink>
      <w:r>
        <w:t xml:space="preserve"> </w:t>
      </w:r>
      <w:r>
        <w:t xml:space="preserve">- read classification results with more care and connect metrics to model behavior.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12-model-comparison.md</w:t>
        </w:r>
      </w:hyperlink>
      <w:r>
        <w:t xml:space="preserve"> </w:t>
      </w:r>
      <w:r>
        <w:t xml:space="preserve">- compare different learners under the same split and evaluation protocol.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13-tuning-workflow.md</w:t>
        </w:r>
      </w:hyperlink>
      <w:r>
        <w:t xml:space="preserve"> </w:t>
      </w:r>
      <w:r>
        <w:t xml:space="preserve">- use hyperparameter search in a controlled way.</w:t>
      </w:r>
    </w:p>
    <w:bookmarkEnd w:id="18"/>
    <w:bookmarkStart w:id="22" w:name="workflow-transfer"/>
    <w:p>
      <w:pPr>
        <w:pStyle w:val="Heading2"/>
      </w:pPr>
      <w:r>
        <w:t xml:space="preserve">Workflow Transfer</w:t>
      </w:r>
    </w:p>
    <w:p>
      <w:pPr>
        <w:pStyle w:val="FirstParagraph"/>
      </w:pPr>
      <w:r>
        <w:t xml:space="preserve">These tutorials show how the same experiment logic extends to complete pipelines and to other learning tasks.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20-end-to-end-classification-pipeline.md</w:t>
        </w:r>
      </w:hyperlink>
      <w:r>
        <w:t xml:space="preserve"> </w:t>
      </w:r>
      <w:r>
        <w:t xml:space="preserve">- connect preparation, modeling, and evaluation in one complete classification flow.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21-regression-workflow.md</w:t>
        </w:r>
      </w:hyperlink>
      <w:r>
        <w:t xml:space="preserve"> </w:t>
      </w:r>
      <w:r>
        <w:t xml:space="preserve">- transfer the same workflow to numeric prediction.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22-clustering-workflow.md</w:t>
        </w:r>
      </w:hyperlink>
      <w:r>
        <w:t xml:space="preserve"> </w:t>
      </w:r>
      <w:r>
        <w:t xml:space="preserve">- move to unsupervised learning and study the role of normalization.</w:t>
      </w:r>
    </w:p>
    <w:bookmarkEnd w:id="22"/>
    <w:bookmarkStart w:id="25" w:name="communication-and-extension"/>
    <w:p>
      <w:pPr>
        <w:pStyle w:val="Heading2"/>
      </w:pPr>
      <w:r>
        <w:t xml:space="preserve">Communication and Extension</w:t>
      </w:r>
    </w:p>
    <w:p>
      <w:pPr>
        <w:pStyle w:val="FirstParagraph"/>
      </w:pPr>
      <w:r>
        <w:t xml:space="preserve">Finish with examples that broaden the workflow toward reporting and framework customization.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30-visual-analysis-and-reporting.md</w:t>
        </w:r>
      </w:hyperlink>
      <w:r>
        <w:t xml:space="preserve"> </w:t>
      </w:r>
      <w:r>
        <w:t xml:space="preserve">- use plots to understand data and communicate results.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31-custom-extension.md</w:t>
        </w:r>
      </w:hyperlink>
      <w:r>
        <w:t xml:space="preserve"> </w:t>
      </w:r>
      <w:r>
        <w:t xml:space="preserve">- create a custom learner while preserving the same workflow structure.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tutorial/01-first-experiment.md" TargetMode="External" /><Relationship Type="http://schemas.openxmlformats.org/officeDocument/2006/relationships/hyperlink" Id="rId10" Target="/examples/tutorial/02-sampling-strategy.md" TargetMode="External" /><Relationship Type="http://schemas.openxmlformats.org/officeDocument/2006/relationships/hyperlink" Id="rId11" Target="/examples/tutorial/03-data-quality-and-cleaning.md" TargetMode="External" /><Relationship Type="http://schemas.openxmlformats.org/officeDocument/2006/relationships/hyperlink" Id="rId12" Target="/examples/tutorial/04-preprocessing-basics.md" TargetMode="External" /><Relationship Type="http://schemas.openxmlformats.org/officeDocument/2006/relationships/hyperlink" Id="rId14" Target="/examples/tutorial/10-baseline-classification.md" TargetMode="External" /><Relationship Type="http://schemas.openxmlformats.org/officeDocument/2006/relationships/hyperlink" Id="rId15" Target="/examples/tutorial/11-metrics-and-evaluation.md" TargetMode="External" /><Relationship Type="http://schemas.openxmlformats.org/officeDocument/2006/relationships/hyperlink" Id="rId16" Target="/examples/tutorial/12-model-comparison.md" TargetMode="External" /><Relationship Type="http://schemas.openxmlformats.org/officeDocument/2006/relationships/hyperlink" Id="rId17" Target="/examples/tutorial/13-tuning-workflow.md" TargetMode="External" /><Relationship Type="http://schemas.openxmlformats.org/officeDocument/2006/relationships/hyperlink" Id="rId19" Target="/examples/tutorial/20-end-to-end-classification-pipeline.md" TargetMode="External" /><Relationship Type="http://schemas.openxmlformats.org/officeDocument/2006/relationships/hyperlink" Id="rId20" Target="/examples/tutorial/21-regression-workflow.md" TargetMode="External" /><Relationship Type="http://schemas.openxmlformats.org/officeDocument/2006/relationships/hyperlink" Id="rId21" Target="/examples/tutorial/22-clustering-workflow.md" TargetMode="External" /><Relationship Type="http://schemas.openxmlformats.org/officeDocument/2006/relationships/hyperlink" Id="rId23" Target="/examples/tutorial/30-visual-analysis-and-reporting.md" TargetMode="External" /><Relationship Type="http://schemas.openxmlformats.org/officeDocument/2006/relationships/hyperlink" Id="rId24" Target="/examples/tutorial/31-custom-extens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tutorial/01-first-experiment.md" TargetMode="External" /><Relationship Type="http://schemas.openxmlformats.org/officeDocument/2006/relationships/hyperlink" Id="rId10" Target="/examples/tutorial/02-sampling-strategy.md" TargetMode="External" /><Relationship Type="http://schemas.openxmlformats.org/officeDocument/2006/relationships/hyperlink" Id="rId11" Target="/examples/tutorial/03-data-quality-and-cleaning.md" TargetMode="External" /><Relationship Type="http://schemas.openxmlformats.org/officeDocument/2006/relationships/hyperlink" Id="rId12" Target="/examples/tutorial/04-preprocessing-basics.md" TargetMode="External" /><Relationship Type="http://schemas.openxmlformats.org/officeDocument/2006/relationships/hyperlink" Id="rId14" Target="/examples/tutorial/10-baseline-classification.md" TargetMode="External" /><Relationship Type="http://schemas.openxmlformats.org/officeDocument/2006/relationships/hyperlink" Id="rId15" Target="/examples/tutorial/11-metrics-and-evaluation.md" TargetMode="External" /><Relationship Type="http://schemas.openxmlformats.org/officeDocument/2006/relationships/hyperlink" Id="rId16" Target="/examples/tutorial/12-model-comparison.md" TargetMode="External" /><Relationship Type="http://schemas.openxmlformats.org/officeDocument/2006/relationships/hyperlink" Id="rId17" Target="/examples/tutorial/13-tuning-workflow.md" TargetMode="External" /><Relationship Type="http://schemas.openxmlformats.org/officeDocument/2006/relationships/hyperlink" Id="rId19" Target="/examples/tutorial/20-end-to-end-classification-pipeline.md" TargetMode="External" /><Relationship Type="http://schemas.openxmlformats.org/officeDocument/2006/relationships/hyperlink" Id="rId20" Target="/examples/tutorial/21-regression-workflow.md" TargetMode="External" /><Relationship Type="http://schemas.openxmlformats.org/officeDocument/2006/relationships/hyperlink" Id="rId21" Target="/examples/tutorial/22-clustering-workflow.md" TargetMode="External" /><Relationship Type="http://schemas.openxmlformats.org/officeDocument/2006/relationships/hyperlink" Id="rId23" Target="/examples/tutorial/30-visual-analysis-and-reporting.md" TargetMode="External" /><Relationship Type="http://schemas.openxmlformats.org/officeDocument/2006/relationships/hyperlink" Id="rId24" Target="/examples/tutorial/31-custom-extens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2026-09-20T20:18:12Z</dcterms:created>
  <dcterms:modified xsi:type="dcterms:W3CDTF">2026-09-20T20:18:12Z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