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: binary logistic regression using the generalized linear model framework.</w:t>
      </w:r>
    </w:p>
    <w:p>
      <w:pPr>
        <w:pStyle w:val="BodyText"/>
      </w:pPr>
      <w:r>
        <w:t xml:space="preserve">Didactic goal: preserve the same line of experiment and change only what the method requires. In this case, the special requirement is a binary target instead of the original three-class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problem.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80 40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20 10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multiclass classification.</w:t>
      </w:r>
      <w:r>
        <w:t xml:space="preserve"> </w:t>
      </w:r>
      <w:r>
        <w:t xml:space="preserve">- The only structural adaptation is the binary target required by logistic regression.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McCullagh, P., and Nelder, J. A. (1989). Generalized Linear Models.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2026-09-20T20:40:06Z</dcterms:created>
  <dcterms:modified xsi:type="dcterms:W3CDTF">2026-09-20T20:40:06Z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