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utility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clu_tune</w:t>
      </w:r>
      <w:r>
        <w:t xml:space="preserve">: selects hyperparameters for a clustering method.</w:t>
      </w:r>
      <w:r>
        <w:t xml:space="preserve"> </w:t>
      </w:r>
      <w:r>
        <w:t xml:space="preserve">- In this example the tuned base model is</w:t>
      </w:r>
      <w:r>
        <w:t xml:space="preserve"> </w:t>
      </w:r>
      <w:r>
        <w:rPr>
          <w:rStyle w:val="VerbatimChar"/>
        </w:rPr>
        <w:t xml:space="preserve">cluster_kmeans</w:t>
      </w:r>
      <w:r>
        <w:t xml:space="preserve">.</w:t>
      </w:r>
    </w:p>
    <w:p>
      <w:pPr>
        <w:pStyle w:val="BodyText"/>
      </w:pPr>
      <w:r>
        <w:t xml:space="preserve">Didactic goal: preserve the same clustering line of experiment and treat tuning as a change in configuration rather than as a different workflow.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separate predictors from the reference labels used only for interpretation.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</w:t>
      </w:r>
      <w:r>
        <w:br/>
      </w:r>
      <w:r>
        <w:rPr>
          <w:rStyle w:val="VerbatimChar"/>
        </w:rPr>
        <w:t xml:space="preserve">## 1          5.1         3.5          1.4         0.2</w:t>
      </w:r>
      <w:r>
        <w:br/>
      </w:r>
      <w:r>
        <w:rPr>
          <w:rStyle w:val="VerbatimChar"/>
        </w:rPr>
        <w:t xml:space="preserve">## 2          4.9         3.0          1.4         0.2</w:t>
      </w:r>
      <w:r>
        <w:br/>
      </w:r>
      <w:r>
        <w:rPr>
          <w:rStyle w:val="VerbatimChar"/>
        </w:rPr>
        <w:t xml:space="preserve">## 3          4.7         3.2          1.3         0.2</w:t>
      </w:r>
      <w:r>
        <w:br/>
      </w:r>
      <w:r>
        <w:rPr>
          <w:rStyle w:val="VerbatimChar"/>
        </w:rPr>
        <w:t xml:space="preserve">## 4          4.6         3.1          1.5         0.2</w:t>
      </w:r>
      <w:r>
        <w:br/>
      </w:r>
      <w:r>
        <w:rPr>
          <w:rStyle w:val="VerbatimChar"/>
        </w:rPr>
        <w:t xml:space="preserve">## 5          5.0         3.6          1.4         0.2</w:t>
      </w:r>
      <w:r>
        <w:br/>
      </w:r>
      <w:r>
        <w:rPr>
          <w:rStyle w:val="VerbatimChar"/>
        </w:rPr>
        <w:t xml:space="preserve">## 6          5.4         3.9          1.7         0.4</w:t>
      </w:r>
    </w:p>
    <w:p>
      <w:pPr>
        <w:pStyle w:val="FirstParagraph"/>
      </w:pPr>
      <w:r>
        <w:t xml:space="preserve">Model configuration and tuning setup. Here the example intentionally customizes the evaluation lists to keep tuning centered on one internal metric (</w:t>
      </w:r>
      <w:r>
        <w:rPr>
          <w:rStyle w:val="VerbatimChar"/>
        </w:rPr>
        <w:t xml:space="preserve">silhouette</w:t>
      </w:r>
      <w:r>
        <w:t xml:space="preserve">) and one external reference metric (</w:t>
      </w:r>
      <w:r>
        <w:rPr>
          <w:rStyle w:val="VerbatimChar"/>
        </w:rPr>
        <w:t xml:space="preserve">entropy</w:t>
      </w:r>
      <w:r>
        <w:t xml:space="preserve">). This is a didactic simplification, not a requirement of clustering workflows. The motivation is to tune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against a compact internal criterion of cohesion/separation while still reporting an external interpretation score against</w:t>
      </w:r>
      <w:r>
        <w:t xml:space="preserve"> </w:t>
      </w:r>
      <w:r>
        <w:rPr>
          <w:rStyle w:val="VerbatimChar"/>
        </w:rPr>
        <w:t xml:space="preserve">iris$Species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base_model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cluster_kmeans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metric_silhouette</w:t>
      </w:r>
      <w:r>
        <w:br/>
      </w:r>
      <w:r>
        <w:rPr>
          <w:rStyle w:val="NormalTok"/>
        </w:rPr>
        <w:t xml:space="preserve">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selector_best</w:t>
      </w:r>
      <w:r>
        <w:br/>
      </w:r>
      <w:r>
        <w:rPr>
          <w:rStyle w:val="NormalTok"/>
        </w:rPr>
        <w:t xml:space="preserve">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eval_internal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metric_silhouette)</w:t>
      </w:r>
      <w:r>
        <w:br/>
      </w:r>
      <w:r>
        <w:rPr>
          <w:rStyle w:val="NormalTok"/>
        </w:rPr>
        <w:t xml:space="preserve">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eval_external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(base_model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metric_entropy)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clu_tune</w:t>
      </w:r>
      <w:r>
        <w:rPr>
          <w:rStyle w:val="NormalTok"/>
        </w:rPr>
        <w:t xml:space="preserve">(base_model,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Fit the tuned model and inspect the selected configuration.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</w:t>
      </w:r>
    </w:p>
    <w:p>
      <w:pPr>
        <w:pStyle w:val="SourceCode"/>
      </w:pPr>
      <w:r>
        <w:rPr>
          <w:rStyle w:val="VerbatimChar"/>
        </w:rPr>
        <w:t xml:space="preserve">## [1] 2</w:t>
      </w:r>
    </w:p>
    <w:p>
      <w:pPr>
        <w:pStyle w:val="FirstParagraph"/>
      </w:pPr>
      <w:r>
        <w:t xml:space="preserve">Generate cluster labels with the selected configuration.</w:t>
      </w:r>
    </w:p>
    <w:p>
      <w:pPr>
        <w:pStyle w:val="SourceCode"/>
      </w:pP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x)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1  2 </w:t>
      </w:r>
      <w:r>
        <w:br/>
      </w:r>
      <w:r>
        <w:rPr>
          <w:rStyle w:val="VerbatimChar"/>
        </w:rPr>
        <w:t xml:space="preserve">## 97 53</w:t>
      </w:r>
    </w:p>
    <w:p>
      <w:pPr>
        <w:pStyle w:val="FirstParagraph"/>
      </w:pPr>
      <w:r>
        <w:t xml:space="preserve">Evaluate the tuned partition.</w:t>
      </w:r>
    </w:p>
    <w:p>
      <w:pPr>
        <w:pStyle w:val="SourceCode"/>
      </w:pP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ref)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2 × 4</w:t>
      </w:r>
      <w:r>
        <w:br/>
      </w:r>
      <w:r>
        <w:rPr>
          <w:rStyle w:val="VerbatimChar"/>
        </w:rPr>
        <w:t xml:space="preserve">##   x        ce   qtd   ceg</w:t>
      </w:r>
      <w:r>
        <w:br/>
      </w:r>
      <w:r>
        <w:rPr>
          <w:rStyle w:val="VerbatimChar"/>
        </w:rPr>
        <w:t xml:space="preserve">##   &lt;fct&gt; &lt;dbl&gt; &lt;int&gt; &lt;dbl&gt;</w:t>
      </w:r>
      <w:r>
        <w:br/>
      </w:r>
      <w:r>
        <w:rPr>
          <w:rStyle w:val="VerbatimChar"/>
        </w:rPr>
        <w:t xml:space="preserve">## 1 1     0.999    97 0.646</w:t>
      </w:r>
      <w:r>
        <w:br/>
      </w:r>
      <w:r>
        <w:rPr>
          <w:rStyle w:val="VerbatimChar"/>
        </w:rPr>
        <w:t xml:space="preserve">## 2 2     0.314    53 0.111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0.757101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metric     value     goal     type</w:t>
      </w:r>
      <w:r>
        <w:br/>
      </w:r>
      <w:r>
        <w:rPr>
          <w:rStyle w:val="VerbatimChar"/>
        </w:rPr>
        <w:t xml:space="preserve">## 1 silhouette 0.6810462 maximize internal</w:t>
      </w:r>
      <w:r>
        <w:br/>
      </w:r>
      <w:r>
        <w:rPr>
          <w:rStyle w:val="VerbatimChar"/>
        </w:rPr>
        <w:t xml:space="preserve">## 2    entropy 0.7571010 minimize external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workflow is still configure, fit, cluster, and evaluate.</w:t>
      </w:r>
      <w:r>
        <w:t xml:space="preserve"> </w:t>
      </w:r>
      <w:r>
        <w:t xml:space="preserve">- Tuning changes how the clustering configuration is chosen, not how the experiment is read.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Satopaa, V., Albrecht, J., Irwin, D., and Raghavan, B. (2011). Finding a</w:t>
      </w:r>
      <w:r>
        <w:t xml:space="preserve"> </w:t>
      </w:r>
      <w:r>
        <w:t xml:space="preserve">“Kneedle”</w:t>
      </w:r>
      <w:r>
        <w:t xml:space="preserve"> </w:t>
      </w:r>
      <w:r>
        <w:t xml:space="preserve">in a Haystack.</w:t>
      </w:r>
      <w:r>
        <w:t xml:space="preserve"> </w:t>
      </w:r>
      <w:r>
        <w:t xml:space="preserve">- Rousseeuw, P. J. (1987). Silhouettes: A graphical aid to the interpretation and validation of cluster analysis.</w:t>
      </w:r>
      <w:r>
        <w:t xml:space="preserve"> </w:t>
      </w:r>
      <w:r>
        <w:t xml:space="preserve">- Shannon, C. E. (1948). A mathematical theory of communication.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2026-09-20T20:40:17Z</dcterms:created>
  <dcterms:modified xsi:type="dcterms:W3CDTF">2026-09-20T20:40:17Z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