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regression"/>
    <w:p>
      <w:pPr>
        <w:pStyle w:val="Heading2"/>
      </w:pPr>
      <w:r>
        <w:t xml:space="preserve">Custom Regression</w:t>
      </w:r>
    </w:p>
    <w:p>
      <w:pPr>
        <w:pStyle w:val="FirstParagraph"/>
      </w:pPr>
      <w:r>
        <w:t xml:space="preserve">The primary goal of this example is to show how to build a custom regressor that remains compatible with the same Experiment Line used by the native learners of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 The customization procedure is straightforward: define a constructor, keep the hyperparameters inside the object, 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, and then reuse the standard sampling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steps.</w:t>
      </w:r>
    </w:p>
    <w:p>
      <w:pPr>
        <w:pStyle w:val="BodyText"/>
      </w:pPr>
      <w:r>
        <w:t xml:space="preserve">This makes the separation of concerns explicit. The regression algorithm can be complex, but the integration contract is intentionally small. In this concrete example, the custom regressor uses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 </w:t>
      </w:r>
      <w:r>
        <w:t xml:space="preserve">with linear output.</w:t>
      </w:r>
    </w:p>
    <w:p>
      <w:pPr>
        <w:pStyle w:val="BodyText"/>
      </w:pPr>
      <w:r>
        <w:t xml:space="preserve">The important structural point is that custom regressors should inherit from</w:t>
      </w:r>
      <w:r>
        <w:t xml:space="preserve"> </w:t>
      </w:r>
      <w:r>
        <w:rPr>
          <w:rStyle w:val="VerbatimChar"/>
        </w:rPr>
        <w:t xml:space="preserve">regression(attribute)</w:t>
      </w:r>
      <w:r>
        <w:t xml:space="preserve">, so they participate in the same evaluation and tuning workflow as the native</w:t>
      </w:r>
      <w:r>
        <w:t xml:space="preserve"> </w:t>
      </w:r>
      <w:r>
        <w:rPr>
          <w:rStyle w:val="VerbatimChar"/>
        </w:rPr>
        <w:t xml:space="preserve">reg_*</w:t>
      </w:r>
      <w:r>
        <w:t xml:space="preserve"> </w:t>
      </w:r>
      <w:r>
        <w:t xml:space="preserve">models.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install.packages(c("daltoolbox", "RSNNS", "MASS"))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regression</w:t>
      </w:r>
      <w:r>
        <w:rPr>
          <w:rStyle w:val="NormalTok"/>
        </w:rPr>
        <w:t xml:space="preserve">(attribute)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learn_rate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"reg_rsnns_custom"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"RSNNS"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requires the 'RSNNS'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RSNNS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predict.reg_rsnns_custom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(object, x, ...)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(x[,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x))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reg_rsnns_custom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smape          R2</w:t>
      </w:r>
      <w:r>
        <w:br/>
      </w:r>
      <w:r>
        <w:rPr>
          <w:rStyle w:val="VerbatimChar"/>
        </w:rPr>
        <w:t xml:space="preserve">## 1 82.56268 0.30925 -0.03758858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   R2</w:t>
      </w:r>
      <w:r>
        <w:br/>
      </w:r>
      <w:r>
        <w:rPr>
          <w:rStyle w:val="VerbatimChar"/>
        </w:rPr>
        <w:t xml:space="preserve">## 1 103.0929 0.3299567 -0.004030478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Bergmeir, C., and Benitez, J. M. (2012). Neural Networks in R Using the Stuttgart Neural Network Simulator: RSNNS.</w:t>
      </w:r>
      <w:r>
        <w:t xml:space="preserve"> </w:t>
      </w:r>
      <w:r>
        <w:t xml:space="preserve">- Bishop, C. M. (1995). Neural Networks for Pattern Recognition.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2026-09-20T20:40:20Z</dcterms:created>
  <dcterms:modified xsi:type="dcterms:W3CDTF">2026-09-20T20:40:20Z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