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ensemble-regression-examples"/>
    <w:p>
      <w:pPr>
        <w:pStyle w:val="Heading1"/>
      </w:pPr>
      <w:r>
        <w:t xml:space="preserve">Ensemble Regression Examples</w:t>
      </w:r>
    </w:p>
    <w:p>
      <w:pPr>
        <w:pStyle w:val="FirstParagraph"/>
      </w:pPr>
      <w:r>
        <w:t xml:space="preserve">Ensemble methods combine predictions from multiple individual models to achieve superior predictive performance compared to any single model.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d053_regression_ensemble.pdf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ensemble/20-ensemble-random-forest.md" TargetMode="External" /><Relationship Type="http://schemas.openxmlformats.org/officeDocument/2006/relationships/hyperlink" Id="rId9" Target="https://github.com/cefet-rj-dal/daltoolbox/blob/main/examples/pdf/d053_regression_ensemb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ensemble/20-ensemble-random-forest.md" TargetMode="External" /><Relationship Type="http://schemas.openxmlformats.org/officeDocument/2006/relationships/hyperlink" Id="rId9" Target="https://github.com/cefet-rj-dal/daltoolbox/blob/main/examples/pdf/d053_regression_ensemb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2026-09-20T20:40:56Z</dcterms:created>
  <dcterms:modified xsi:type="dcterms:W3CDTF">2026-09-20T20:40:56Z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