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caling-examples"/>
    <w:p>
      <w:pPr>
        <w:pStyle w:val="Heading1"/>
      </w:pPr>
      <w:r>
        <w:t xml:space="preserve">Scaling Examples</w:t>
      </w:r>
    </w:p>
    <w:p>
      <w:pPr>
        <w:pStyle w:val="FirstParagraph"/>
      </w:pPr>
      <w:r>
        <w:t xml:space="preserve">These examples make numeric attributes more suitable for downstream learners by changing their scale.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d034_transf_scaling.pdf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20-scaling-minmax.md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rescale numeric attributes to a bounded interval.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21-scaling-zscore.md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 numeric attributes by mean and standard deviation.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scaling/20-scaling-minmax.md" TargetMode="External" /><Relationship Type="http://schemas.openxmlformats.org/officeDocument/2006/relationships/hyperlink" Id="rId11" Target="/examples/transf/scaling/21-scaling-zscore.md" TargetMode="External" /><Relationship Type="http://schemas.openxmlformats.org/officeDocument/2006/relationships/hyperlink" Id="rId9" Target="https://github.com/cefet-rj-dal/daltoolbox/blob/main/examples/pdf/d034_transf_scal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scaling/20-scaling-minmax.md" TargetMode="External" /><Relationship Type="http://schemas.openxmlformats.org/officeDocument/2006/relationships/hyperlink" Id="rId11" Target="/examples/transf/scaling/21-scaling-zscore.md" TargetMode="External" /><Relationship Type="http://schemas.openxmlformats.org/officeDocument/2006/relationships/hyperlink" Id="rId9" Target="https://github.com/cefet-rj-dal/daltoolbox/blob/main/examples/pdf/d034_transf_scal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2026-09-20T20:41:20Z</dcterms:created>
  <dcterms:modified xsi:type="dcterms:W3CDTF">2026-09-20T20:41:20Z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