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11---metrics-and-evaluation"/>
    <w:p>
      <w:pPr>
        <w:pStyle w:val="Heading2"/>
      </w:pPr>
      <w:r>
        <w:t xml:space="preserve">Tutorial 11 - Metrics and Evaluation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is easy; interpreting the result is where learning starts. This tutorial slows down the evaluation step and explains why training and test metrics should be read together.</w:t>
      </w:r>
    </w:p>
    <w:p>
      <w:pPr>
        <w:pStyle w:val="BodyText"/>
      </w:pPr>
      <w:r>
        <w:t xml:space="preserve">The goal is to help the reader connect the numbers to a model’s behavior instead of treating metrics as output to copy and paste.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Train a decision tree on a standard split so we can focus on the evaluation stage.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FirstParagraph"/>
      </w:pPr>
      <w:r>
        <w:t xml:space="preserve">Evaluate on the training set first. These numbers usually look optimistic because the model has already seen these cases. The prediction object is a class-score table, 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converts it into labels and metrics.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41 79  0  0         1      1           1           1  1</w:t>
      </w:r>
    </w:p>
    <w:p>
      <w:pPr>
        <w:pStyle w:val="FirstParagraph"/>
      </w:pPr>
      <w:r>
        <w:t xml:space="preserve">Now evaluate on the test set. This is the more important number for judging whether the model is likely to generalize.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It is also useful to inspect the confusion matrix. While a single score summarizes performance, the confusion matrix shows which classes are being confused with one another.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            observed</w:t>
      </w:r>
      <w:r>
        <w:br/>
      </w:r>
      <w:r>
        <w:rPr>
          <w:rStyle w:val="VerbatimChar"/>
        </w:rPr>
        <w:t xml:space="preserve">## predicted    setosa versicolor virginica</w:t>
      </w:r>
      <w:r>
        <w:br/>
      </w:r>
      <w:r>
        <w:rPr>
          <w:rStyle w:val="VerbatimChar"/>
        </w:rPr>
        <w:t xml:space="preserve">##   setosa          9          0         0</w:t>
      </w:r>
      <w:r>
        <w:br/>
      </w:r>
      <w:r>
        <w:rPr>
          <w:rStyle w:val="VerbatimChar"/>
        </w:rPr>
        <w:t xml:space="preserve">##   versicolor      0         10         0</w:t>
      </w:r>
      <w:r>
        <w:br/>
      </w:r>
      <w:r>
        <w:rPr>
          <w:rStyle w:val="VerbatimChar"/>
        </w:rPr>
        <w:t xml:space="preserve">##   virginica       0          1        10</w:t>
      </w:r>
    </w:p>
    <w:p>
      <w:pPr>
        <w:pStyle w:val="FirstParagraph"/>
      </w:pPr>
      <w:r>
        <w:t xml:space="preserve">For beginners, one interpretation rule helps a lot: if training results are much better than test results, the model may be too adapted to the training data.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2026-09-20T20:41:25Z</dcterms:created>
  <dcterms:modified xsi:type="dcterms:W3CDTF">2026-09-20T20:41:25Z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