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SourceCode"/>
      </w:pPr>
      <w:r>
        <w:rPr>
          <w:rStyle w:val="CommentTok"/>
        </w:rPr>
        <w:t xml:space="preserve"># Clustering -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Load sample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K-means with k=3 (one cluster per species in iris).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96 33 21</w:t>
      </w:r>
    </w:p>
    <w:p>
      <w:pPr>
        <w:pStyle w:val="FirstParagraph"/>
      </w:pPr>
      <w:r>
        <w:t xml:space="preserve">External evaluation using true labels (</w:t>
      </w:r>
      <w:r>
        <w:rPr>
          <w:rStyle w:val="VerbatimChar"/>
        </w:rPr>
        <w:t xml:space="preserve">Species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0.999    96 0.639 </w:t>
      </w:r>
      <w:r>
        <w:br/>
      </w:r>
      <w:r>
        <w:rPr>
          <w:rStyle w:val="VerbatimChar"/>
        </w:rPr>
        <w:t xml:space="preserve">## 2 2     0        33 0     </w:t>
      </w:r>
      <w:r>
        <w:br/>
      </w:r>
      <w:r>
        <w:rPr>
          <w:rStyle w:val="VerbatimChar"/>
        </w:rPr>
        <w:t xml:space="preserve">## 3 3     0.702    21 0.0983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0.7375436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Effect of normalization: compare results after min-max.</w:t>
      </w:r>
    </w:p>
    <w:p>
      <w:pPr>
        <w:pStyle w:val="SourceCode"/>
      </w:pPr>
      <w:r>
        <w:rPr>
          <w:rStyle w:val="CommentTok"/>
        </w:rPr>
        <w:t xml:space="preserve"># Influence of normalization in clustering</w:t>
      </w:r>
      <w:r>
        <w:br/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39 50 61</w:t>
      </w:r>
    </w:p>
    <w:p>
      <w:pPr>
        <w:pStyle w:val="FirstParagraph"/>
      </w:pPr>
      <w:r>
        <w:t xml:space="preserve">Re-evaluation with normalized data.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0.391    39 0.102</w:t>
      </w:r>
      <w:r>
        <w:br/>
      </w:r>
      <w:r>
        <w:rPr>
          <w:rStyle w:val="VerbatimChar"/>
        </w:rPr>
        <w:t xml:space="preserve">## 2 2     0        50 0    </w:t>
      </w:r>
      <w:r>
        <w:br/>
      </w:r>
      <w:r>
        <w:rPr>
          <w:rStyle w:val="VerbatimChar"/>
        </w:rPr>
        <w:t xml:space="preserve">## 3 3     0.777    61 0.316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Lloyd, S. (1982). Least squares quantization in PCM.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2026-03-11T01:46:59Z</dcterms:created>
  <dcterms:modified xsi:type="dcterms:W3CDTF">2026-03-11T01:46:59Z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