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cla_bagging</w:t>
      </w:r>
      <w:r>
        <w:t xml:space="preserve">: bootstrap aggregation of classification trees. The main idea is to reduce variance by fitting many trees on bootstrap samples and combining their votes.</w:t>
      </w:r>
    </w:p>
    <w:p>
      <w:pPr>
        <w:pStyle w:val="BodyText"/>
      </w:pPr>
      <w:r>
        <w:t xml:space="preserve">Didactic goal: keep the same classification line of experiment used in the earlier examples and change only the learner family. This makes it easier to compare what bagging changes relative to a single-tree baseline.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install.packages(c("daltoolbox", "ipred"))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Load data and inspect.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FirstParagraph"/>
      </w:pPr>
      <w:r>
        <w:t xml:space="preserve">Target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 </w:t>
      </w:r>
      <w:r>
        <w:t xml:space="preserve">levels and reproducible train/test split.</w:t>
      </w:r>
    </w:p>
    <w:p>
      <w:pPr>
        <w:pStyle w:val="SourceCode"/>
      </w:pP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(), iris)</w:t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Class distribution by split.</w:t>
      </w:r>
    </w:p>
    <w:p>
      <w:pPr>
        <w:pStyle w:val="SourceCode"/>
      </w:pPr>
      <w:r>
        <w:rPr>
          <w:rStyle w:val="NormalTok"/>
        </w:rPr>
        <w:t xml:space="preserve">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(tbl)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tbl</w:t>
      </w:r>
    </w:p>
    <w:p>
      <w:pPr>
        <w:pStyle w:val="SourceCode"/>
      </w:pPr>
      <w:r>
        <w:rPr>
          <w:rStyle w:val="VerbatimChar"/>
        </w:rPr>
        <w:t xml:space="preserve">##          setosa versicolor virginica</w:t>
      </w:r>
      <w:r>
        <w:br/>
      </w:r>
      <w:r>
        <w:rPr>
          <w:rStyle w:val="VerbatimChar"/>
        </w:rPr>
        <w:t xml:space="preserve">## dataset      50         50        50</w:t>
      </w:r>
      <w:r>
        <w:br/>
      </w:r>
      <w:r>
        <w:rPr>
          <w:rStyle w:val="VerbatimChar"/>
        </w:rPr>
        <w:t xml:space="preserve">## training     41         39        40</w:t>
      </w:r>
      <w:r>
        <w:br/>
      </w:r>
      <w:r>
        <w:rPr>
          <w:rStyle w:val="VerbatimChar"/>
        </w:rPr>
        <w:t xml:space="preserve">## test          9         11        10</w:t>
      </w:r>
    </w:p>
    <w:p>
      <w:pPr>
        <w:pStyle w:val="FirstParagraph"/>
      </w:pPr>
      <w:r>
        <w:t xml:space="preserve">Model configuration and fitting.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requireNamespace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"ipred"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quietly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cla_bagging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nbagg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iris_train)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Training evaluation.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requireNamespace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"ipred"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quietly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iris_train)</w:t>
      </w:r>
      <w:r>
        <w:br/>
      </w:r>
      <w:r>
        <w:rPr>
          <w:rStyle w:val="NormalTok"/>
        </w:rPr>
        <w:t xml:space="preserve">  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], train_prediction)</w:t>
      </w:r>
      <w:r>
        <w:br/>
      </w:r>
      <w:r>
        <w:rPr>
          <w:rStyle w:val="NormalTok"/>
        </w:rPr>
        <w:t xml:space="preserve">  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##   accuracy TP TN FP FN precision recall sensitivity specificity f1</w:t>
      </w:r>
      <w:r>
        <w:br/>
      </w:r>
      <w:r>
        <w:rPr>
          <w:rStyle w:val="VerbatimChar"/>
        </w:rPr>
        <w:t xml:space="preserve">## 1        1 41 79  0  0         1      1           1           1  1</w:t>
      </w:r>
    </w:p>
    <w:p>
      <w:pPr>
        <w:pStyle w:val="FirstParagraph"/>
      </w:pPr>
      <w:r>
        <w:t xml:space="preserve">Test evaluation.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requireNamespace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"ipred"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quietly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iris_test)</w:t>
      </w:r>
      <w:r>
        <w:br/>
      </w:r>
      <w:r>
        <w:rPr>
          <w:rStyle w:val="NormalTok"/>
        </w:rPr>
        <w:t xml:space="preserve">  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], test_prediction)</w:t>
      </w:r>
      <w:r>
        <w:br/>
      </w:r>
      <w:r>
        <w:rPr>
          <w:rStyle w:val="NormalTok"/>
        </w:rPr>
        <w:t xml:space="preserve">  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0.9333333  9 21  0  0         1      1           1           1  1</w:t>
      </w:r>
    </w:p>
    <w:p>
      <w:pPr>
        <w:pStyle w:val="FirstParagraph"/>
      </w:pPr>
      <w:r>
        <w:t xml:space="preserve">What to observe</w:t>
      </w:r>
      <w:r>
        <w:t xml:space="preserve"> </w:t>
      </w:r>
      <w:r>
        <w:t xml:space="preserve">- Bagging keeps the same DAL workflow while changing the model-construction logic internally.</w:t>
      </w:r>
      <w:r>
        <w:t xml:space="preserve"> </w:t>
      </w:r>
      <w:r>
        <w:t xml:space="preserve">- The learner usually becomes more stable than a single tree because the prediction is aggregated across bootstrap models.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Breiman, L. (1996). Bagging Predictors.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2026-05-13T06:01:33Z</dcterms:created>
  <dcterms:modified xsi:type="dcterms:W3CDTF">2026-05-13T06:01:33Z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