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reg_knn</w:t>
      </w:r>
      <w:r>
        <w:t xml:space="preserve">: k-Nearest Neighbors for regression. Predicts a value from the target values of nearby cases.</w:t>
      </w:r>
      <w:r>
        <w:t xml:space="preserve"> </w:t>
      </w:r>
      <w:r>
        <w:t xml:space="preserve">- Main parameter: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Didactic goal: keep the same regression line of experiment and change only the learner to a local neighborhood method.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 R2</w:t>
      </w:r>
      <w:r>
        <w:br/>
      </w:r>
      <w:r>
        <w:rPr>
          <w:rStyle w:val="VerbatimChar"/>
        </w:rPr>
        <w:t xml:space="preserve">## 1 22.5602 0.1477883 0.7164796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 R2</w:t>
      </w:r>
      <w:r>
        <w:br/>
      </w:r>
      <w:r>
        <w:rPr>
          <w:rStyle w:val="VerbatimChar"/>
        </w:rPr>
        <w:t xml:space="preserve">## 1 43.0607 0.1873742 0.5806281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Altman, N. (1992). An Introduction to Kernel and Nearest-Neighbor Nonparametric Regression.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2026-05-13T06:02:27Z</dcterms:created>
  <dcterms:modified xsi:type="dcterms:W3CDTF">2026-05-13T06:02:27Z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