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creates new attributes from named expressions over existing columns.</w:t>
      </w:r>
    </w:p>
    <w:p>
      <w:pPr>
        <w:pStyle w:val="BodyText"/>
      </w:pPr>
      <w:r>
        <w:t xml:space="preserve">Didactic goal: reinforce that preprocessing is not only about cleaning or scaling. Feature generation changes the representation itself and can make patterns easier for downstream learners to capture.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(gen,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Generated attributes become regular columns in the transformed dataset.</w:t>
      </w:r>
      <w:r>
        <w:t xml:space="preserve"> </w:t>
      </w:r>
      <w:r>
        <w:t xml:space="preserve">- This is often one of the most impactful preprocessing steps in practice because it injects domain-informed structure.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2026-05-13T06:02:41Z</dcterms:created>
  <dcterms:modified xsi:type="dcterms:W3CDTF">2026-05-13T06:02:41Z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