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.</w:t>
      </w:r>
    </w:p>
    <w:p>
      <w:pPr>
        <w:pStyle w:val="BodyText"/>
      </w:pPr>
      <w:r>
        <w:t xml:space="preserve">Didactic goal: preserve the same classification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still split, fit, predict, and evaluate.</w:t>
      </w:r>
      <w:r>
        <w:t xml:space="preserve"> </w:t>
      </w:r>
      <w:r>
        <w:t xml:space="preserve">- Tuning changes how the model is selected, not how the experiment is read.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2026-05-13T17:21:53Z</dcterms:created>
  <dcterms:modified xsi:type="dcterms:W3CDTF">2026-05-13T17:21:53Z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