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now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collections for readers who want to inspect one family of methods at a time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basic Experiment Line, jump directly to the thematic collections.</w:t>
      </w:r>
    </w:p>
    <w:bookmarkStart w:id="10" w:name="guided-tutorial-track"/>
    <w:p>
      <w:pPr>
        <w:pStyle w:val="Heading2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structured path with semantic numbering blocks for foundations, classification study, workflow transfer, and extension.</w:t>
      </w:r>
    </w:p>
    <w:bookmarkEnd w:id="10"/>
    <w:bookmarkStart w:id="18" w:name="thematic-example-collections"/>
    <w:p>
      <w:pPr>
        <w:pStyle w:val="Heading2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cleaning, scaling, encoding, smoothing, balancing, feature selection, and dimensionality reduction.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foundations, core learner families, and model selection.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partition-based methods, density-based clustering, and tuning.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Pattern mining</w:t>
        </w:r>
      </w:hyperlink>
      <w:r>
        <w:t xml:space="preserve"> </w:t>
      </w:r>
      <w:r>
        <w:t xml:space="preserve">- association rules, itemsets, and sequential patterns.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add new transformations and learners while preserving the DAL workflow.</w:t>
      </w:r>
    </w:p>
    <w:bookmarkEnd w:id="18"/>
    <w:bookmarkStart w:id="19" w:name="documentation-design"/>
    <w:p>
      <w:pPr>
        <w:pStyle w:val="Heading2"/>
      </w:pPr>
      <w:r>
        <w:t xml:space="preserve">Documentation Design</w:t>
      </w:r>
    </w:p>
    <w:p>
      <w:pPr>
        <w:pStyle w:val="FirstParagraph"/>
      </w:pPr>
      <w:r>
        <w:t xml:space="preserve">The example corpus now follows a clearer didactic convention:</w:t>
      </w:r>
    </w:p>
    <w:p>
      <w:pPr>
        <w:pStyle w:val="Compact"/>
        <w:numPr>
          <w:ilvl w:val="0"/>
          <w:numId w:val="1004"/>
        </w:numPr>
      </w:pPr>
      <w:r>
        <w:t xml:space="preserve">numbering uses semantic gaps so related examples stay grouped by topic</w:t>
      </w:r>
    </w:p>
    <w:p>
      <w:pPr>
        <w:pStyle w:val="Compact"/>
        <w:numPr>
          <w:ilvl w:val="0"/>
          <w:numId w:val="1004"/>
        </w:numPr>
      </w:pPr>
      <w:r>
        <w:t xml:space="preserve">each subfolder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explains the intended reading order instead of acting only as a catalog</w:t>
      </w:r>
    </w:p>
    <w:p>
      <w:pPr>
        <w:pStyle w:val="Compact"/>
        <w:numPr>
          <w:ilvl w:val="0"/>
          <w:numId w:val="1004"/>
        </w:numPr>
      </w:pPr>
      <w:r>
        <w:t xml:space="preserve">the weaker examples are being brought closer to the same teaching style used in the strongest notebooks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2026-05-13T17:22:33Z</dcterms:created>
  <dcterms:modified xsi:type="dcterms:W3CDTF">2026-05-13T17:22:33Z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