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: Support Vector Regression.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.</w:t>
      </w:r>
    </w:p>
    <w:p>
      <w:pPr>
        <w:pStyle w:val="BodyText"/>
      </w:pPr>
      <w:r>
        <w:t xml:space="preserve">Didactic goal: keep the same regression line of experiment and change only the learner to a margin-based regressor.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3.093724 0.07190626 0.9611203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9.927719 0.105222 0.9033131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Drucker, H., Burges, C., Kaufman, L., Smola, A., and Vapnik, V. (1997). Support Vector Regression Machines.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2026-05-13T17:22:35Z</dcterms:created>
  <dcterms:modified xsi:type="dcterms:W3CDTF">2026-05-13T17:22:35Z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