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  <w:r>
        <w:t xml:space="preserve"> </w:t>
      </w:r>
      <w:r>
        <w:t xml:space="preserve">- Common hyperparameters: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(penalty),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(insensitive-margin width),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(e.g., linear, radial, polynomial, sigmoid).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Support Vector Machine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the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after the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SVM: tune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 optionally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default kernel; adjust as needed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 and Vapnik, V. (1995). Support-Vector Networks. Machine Learning 20(3):273–297.</w:t>
      </w:r>
      <w:r>
        <w:t xml:space="preserve"> </w:t>
      </w:r>
      <w:r>
        <w:t xml:space="preserve">- Chang, C.-C. and Lin, C.-J. (2011). LIBSVM: A library for support vector machines.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2025-11-07T17:33:06Z</dcterms:created>
  <dcterms:modified xsi:type="dcterms:W3CDTF">2025-11-07T17:33:06Z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