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 k groups by minimizing within-cluster variance. Sensitive to scale; normalization can improve results.</w:t>
      </w:r>
    </w:p>
    <w:p>
      <w:pPr>
        <w:pStyle w:val="SourceCode"/>
      </w:pPr>
      <w:r>
        <w:rPr>
          <w:rStyle w:val="CommentTok"/>
        </w:rPr>
        <w:t xml:space="preserve"># Clustering -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Load sample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K-means with k=3 (one cluster per species in iris).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External evaluation using true labels (</w:t>
      </w:r>
      <w:r>
        <w:rPr>
          <w:rStyle w:val="VerbatimChar"/>
        </w:rPr>
        <w:t xml:space="preserve">Species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Effect of normalization: compare results after min-max.</w:t>
      </w:r>
    </w:p>
    <w:p>
      <w:pPr>
        <w:pStyle w:val="SourceCode"/>
      </w:pPr>
      <w:r>
        <w:rPr>
          <w:rStyle w:val="CommentTok"/>
        </w:rPr>
        <w:t xml:space="preserve"># Influence of normalization in clustering</w:t>
      </w:r>
      <w:r>
        <w:br/>
      </w:r>
      <w:r>
        <w:br/>
      </w:r>
      <w:r>
        <w:rPr>
          <w:rStyle w:val="NormalTok"/>
        </w:rPr>
        <w:t xml:space="preserve">iris_minmax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iris), iris)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39 61</w:t>
      </w:r>
    </w:p>
    <w:p>
      <w:pPr>
        <w:pStyle w:val="FirstParagraph"/>
      </w:pPr>
      <w:r>
        <w:t xml:space="preserve">Re-evaluation with normalized data.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iris_minmax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0.391    39 0.102</w:t>
      </w:r>
      <w:r>
        <w:br/>
      </w:r>
      <w:r>
        <w:rPr>
          <w:rStyle w:val="VerbatimChar"/>
        </w:rPr>
        <w:t xml:space="preserve">## 3 3     0.777    61 0.316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Lloyd, S. (1982). Least squares quantization in PCM.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2025-11-07T17:33:15Z</dcterms:created>
  <dcterms:modified xsi:type="dcterms:W3CDTF">2025-11-07T17:33:15Z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