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cla_knn</w:t>
      </w:r>
      <w:r>
        <w:t xml:space="preserve">: k-Nearest Neighbors classifier. Classifies by majority vote among the nearest neighbors in feature space.</w:t>
      </w:r>
      <w:r>
        <w:t xml:space="preserve"> </w:t>
      </w:r>
      <w:r>
        <w:t xml:space="preserve">- Main parameter: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Didactic goal: keep the same classification line of experiment and change only the learner to a local neighborhood method.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 and reproducible train/test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41         39        40</w:t>
      </w:r>
      <w:r>
        <w:br/>
      </w:r>
      <w:r>
        <w:rPr>
          <w:rStyle w:val="VerbatimChar"/>
        </w:rPr>
        <w:t xml:space="preserve">## test          9         11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cla_knn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  1 41 79  0  0         1      1           1           1  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 9 21  0  0         1      1           1           1  1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workflow is the same as in the earlier examples.</w:t>
      </w:r>
      <w:r>
        <w:t xml:space="preserve"> </w:t>
      </w:r>
      <w:r>
        <w:t xml:space="preserve">- The method-specific change is that prediction depends on local similarity rather than on an explicit parametric or rule-based model.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Cover, T., and Hart, P. (1967). Nearest Neighbor Pattern Classification.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2026-05-14T03:04:32Z</dcterms:created>
  <dcterms:modified xsi:type="dcterms:W3CDTF">2026-05-14T03:04:32Z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