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BodyText"/>
      </w:pPr>
      <w:r>
        <w:t xml:space="preserve">The important structural point is that custom regressors should inherit from</w:t>
      </w:r>
      <w:r>
        <w:t xml:space="preserve"> </w:t>
      </w:r>
      <w:r>
        <w:rPr>
          <w:rStyle w:val="VerbatimChar"/>
        </w:rPr>
        <w:t xml:space="preserve">regression(attribute)</w:t>
      </w:r>
      <w:r>
        <w:t xml:space="preserve">, so they participate in the same evaluation and tuning workflow as the native</w:t>
      </w:r>
      <w:r>
        <w:t xml:space="preserve"> </w:t>
      </w:r>
      <w:r>
        <w:rPr>
          <w:rStyle w:val="VerbatimChar"/>
        </w:rPr>
        <w:t xml:space="preserve">reg_*</w:t>
      </w:r>
      <w:r>
        <w:t xml:space="preserve"> </w:t>
      </w:r>
      <w:r>
        <w:t xml:space="preserve">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 R2</w:t>
      </w:r>
      <w:r>
        <w:br/>
      </w:r>
      <w:r>
        <w:rPr>
          <w:rStyle w:val="VerbatimChar"/>
        </w:rPr>
        <w:t xml:space="preserve">## 1 84.45911 0.2868254 -0.06142155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R2</w:t>
      </w:r>
      <w:r>
        <w:br/>
      </w:r>
      <w:r>
        <w:rPr>
          <w:rStyle w:val="VerbatimChar"/>
        </w:rPr>
        <w:t xml:space="preserve">## 1 113.5485 0.3272549 -0.1058588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2026-05-14T03:04:45Z</dcterms:created>
  <dcterms:modified xsi:type="dcterms:W3CDTF">2026-05-14T03:04:45Z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