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.</w:t>
      </w:r>
    </w:p>
    <w:p>
      <w:pPr>
        <w:pStyle w:val="BodyText"/>
      </w:pPr>
      <w:r>
        <w:t xml:space="preserve">Didactic goal: preserve the same regression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split, fit, predict, and evaluate.</w:t>
      </w:r>
      <w:r>
        <w:t xml:space="preserve"> </w:t>
      </w:r>
      <w:r>
        <w:t xml:space="preserve">- Tuning changes how the regressor is chosen, not how the line of experiment is structured.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2026-05-14T03:05:32Z</dcterms:created>
  <dcterms:modified xsi:type="dcterms:W3CDTF">2026-05-14T03:05:32Z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