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13---custom-extension"/>
    <w:p>
      <w:pPr>
        <w:pStyle w:val="Heading2"/>
      </w:pPr>
      <w:r>
        <w:t xml:space="preserve">Tutorial 13 - Custom Extension</w:t>
      </w:r>
    </w:p>
    <w:p>
      <w:pPr>
        <w:pStyle w:val="FirstParagraph"/>
      </w:pPr>
      <w:r>
        <w:t xml:space="preserve">One of the strongest ideas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is extensibility. A researcher may want to use a method that is not built into the package, but still keep the same Experiment Line workflow.</w:t>
      </w:r>
    </w:p>
    <w:p>
      <w:pPr>
        <w:pStyle w:val="BodyText"/>
      </w:pPr>
      <w:r>
        <w:t xml:space="preserve">This tutorial revisits that idea with a compact custom classifier based on</w:t>
      </w:r>
      <w:r>
        <w:t xml:space="preserve"> </w:t>
      </w:r>
      <w:r>
        <w:rPr>
          <w:rStyle w:val="VerbatimChar"/>
        </w:rPr>
        <w:t xml:space="preserve">RSNNS::mlp</w:t>
      </w:r>
      <w:r>
        <w:t xml:space="preserve">. The important lesson is not the specific backend; it is the integration pattern.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"RSNNS"))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Define a constructor that stores the learner configuration. This is the object the user will instantiate before training.</w:t>
      </w:r>
    </w:p>
    <w:p>
      <w:pPr>
        <w:pStyle w:val="SourceCode"/>
      </w:pPr>
      <w:r>
        <w:rPr>
          <w:rStyle w:val="NormalTok"/>
        </w:rPr>
        <w:t xml:space="preserve">cla_rsnns_custom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(attribute, slevels,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classification</w:t>
      </w:r>
      <w:r>
        <w:rPr>
          <w:rStyle w:val="NormalTok"/>
        </w:rPr>
        <w:t xml:space="preserve">(attribute, slevels)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learn_rate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"cla_rsnns_custom"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so the custom object can be trained inside the same workflow used by built-in learners.</w:t>
      </w:r>
    </w:p>
    <w:p>
      <w:pPr>
        <w:pStyle w:val="SourceCode"/>
      </w:pPr>
      <w:r>
        <w:rPr>
          <w:rStyle w:val="NormalTok"/>
        </w:rPr>
        <w:t xml:space="preserve">fit.cla_rsnns_custom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"RSNNS"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tutorial requires the 'RSNNS'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adjust_factor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ilevels,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slevels)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attribute])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RSNNS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so the fitted object returns outputs in the format expected by the framework: one row per case and one column per class.</w:t>
      </w:r>
    </w:p>
    <w:p>
      <w:pPr>
        <w:pStyle w:val="SourceCode"/>
      </w:pPr>
      <w:r>
        <w:rPr>
          <w:rStyle w:val="NormalTok"/>
        </w:rPr>
        <w:t xml:space="preserve">predict.cla_rsnns_custom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(object, x, ...)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(x[, 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x)</w:t>
      </w:r>
      <w:r>
        <w:br/>
      </w:r>
      <w:r>
        <w:rPr>
          <w:rStyle w:val="NormalTok"/>
        </w:rPr>
        <w:t xml:space="preserve">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slevels</w:t>
      </w:r>
      <w:r>
        <w:br/>
      </w:r>
      <w:r>
        <w:rPr>
          <w:rStyle w:val="NormalTok"/>
        </w:rPr>
        <w:t xml:space="preserve">  prediction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Finally, use the custom learner exactly as you would use a built-in learner. This is the pedagogical payoff of the design.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cla_rsnns_custom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prediction)</w:t>
      </w:r>
      <w:r>
        <w:br/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 9 21  0  0         1      1           1           1  1</w:t>
      </w:r>
    </w:p>
    <w:p>
      <w:pPr>
        <w:pStyle w:val="FirstParagraph"/>
      </w:pPr>
      <w:r>
        <w:t xml:space="preserve">The core message is that extending the framework should not require rewriting the entire experimental workflow.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2026-05-13T02:50:25Z</dcterms:created>
  <dcterms:modified xsi:type="dcterms:W3CDTF">2026-05-13T02:50:25Z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