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p>
      <w:pPr>
        <w:pStyle w:val="BodyText"/>
      </w:pPr>
      <w:r>
        <w:t xml:space="preserve">This example helps the reader move from classification intuition to numeric prediction without changing the overall Experiment Line structure.</w:t>
      </w:r>
    </w:p>
    <w:p>
      <w:pPr>
        <w:pStyle w:val="BodyText"/>
      </w:pPr>
      <w:r>
        <w:t xml:space="preserve">Didactic goal: notice what stays the same in the workflow and what changes in the interpretation when the target becomes continuous.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 for performance in some methods.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regression tree model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learner definition is still compact, even though the target is numeric.</w:t>
      </w:r>
      <w:r>
        <w:t xml:space="preserve"> </w:t>
      </w:r>
      <w:r>
        <w:t xml:space="preserve">- The main conceptual change is in the evaluation stage, not in the fitting logic.</w:t>
      </w:r>
    </w:p>
    <w:p>
      <w:pPr>
        <w:pStyle w:val="BodyText"/>
      </w:pPr>
      <w:r>
        <w:t xml:space="preserve">Training evaluation (regression metrics, e.g., RMSE, MAE).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Interpreting regression metrics with the same intuition used for classification accuracy.</w:t>
      </w:r>
      <w:r>
        <w:t xml:space="preserve"> </w:t>
      </w:r>
      <w:r>
        <w:t xml:space="preserve">- Ignoring the scale of the target variable when reading RMSE or MAE.</w:t>
      </w:r>
      <w:r>
        <w:t xml:space="preserve"> </w:t>
      </w:r>
      <w:r>
        <w:t xml:space="preserve">- Treating a good training error as evidence of good predictive performance.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2026-03-12T17:29:02Z</dcterms:created>
  <dcterms:modified xsi:type="dcterms:W3CDTF">2026-03-12T17:29:02Z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