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denoising-autoencoder-encode-decode"/>
    <w:p>
      <w:pPr>
        <w:pStyle w:val="Heading2"/>
      </w:pPr>
      <w:r>
        <w:t xml:space="preserve">Denoising Autoencoder (encode-decode)</w:t>
      </w:r>
    </w:p>
    <w:p>
      <w:pPr>
        <w:pStyle w:val="FirstParagraph"/>
      </w:pPr>
      <w:r>
        <w:t xml:space="preserve">Inputs are stochastically corrupted during training, and the model learns to reconstruct clean windows. The bottleneck captures noise-invariant structure, and reconstruction metrics quantify how well essential patterns are preserved.</w:t>
      </w:r>
    </w:p>
    <w:p>
      <w:pPr>
        <w:pStyle w:val="BodyText"/>
      </w:pPr>
      <w:r>
        <w:t xml:space="preserve">This example demonstrates how to use a denoising autoencoder to encode and reconstruct time-series windows, enabling evaluation of reconstruction quality under noise.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Noise is applied to the input during training; at inference, the reconstruction tends to be smoother.</w:t>
      </w:r>
      <w:r>
        <w:t xml:space="preserve"> </w:t>
      </w:r>
      <w:r>
        <w:t xml:space="preserve">- Per-column metrics (R2 and MAPE) help assess robustness per step.</w:t>
      </w:r>
    </w:p>
    <w:p>
      <w:pPr>
        <w:pStyle w:val="SourceCode"/>
      </w:pPr>
      <w:r>
        <w:rPr>
          <w:rStyle w:val="CommentTok"/>
        </w:rPr>
        <w:t xml:space="preserve"># Denoising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autoenc_denoise_ed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rPr>
          <w:rStyle w:val="AttributeTok"/>
        </w:rPr>
        <w:t xml:space="preserve">val_loss=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denoise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0.6860377 0.8629575 0.9358953 0.9513664 0.9996458</w:t>
      </w:r>
      <w:r>
        <w:br/>
      </w:r>
      <w:r>
        <w:rPr>
          <w:rStyle w:val="VerbatimChar"/>
        </w:rPr>
        <w:t xml:space="preserve">## [2,] 0.7872109 0.9453832 0.9934560 0.9779583 1.0064452</w:t>
      </w:r>
      <w:r>
        <w:br/>
      </w:r>
      <w:r>
        <w:rPr>
          <w:rStyle w:val="VerbatimChar"/>
        </w:rPr>
        <w:t xml:space="preserve">## [3,] 0.8685141 1.0017223 1.0202274 0.9715278 0.9823760</w:t>
      </w:r>
      <w:r>
        <w:br/>
      </w:r>
      <w:r>
        <w:rPr>
          <w:rStyle w:val="VerbatimChar"/>
        </w:rPr>
        <w:t xml:space="preserve">## [4,] 0.9310966 1.0275311 1.0223384 0.9336617 0.9215114</w:t>
      </w:r>
      <w:r>
        <w:br/>
      </w:r>
      <w:r>
        <w:rPr>
          <w:rStyle w:val="VerbatimChar"/>
        </w:rPr>
        <w:t xml:space="preserve">## [5,] 0.9652757 1.0233586 0.9947448 0.8637522 0.8278449</w:t>
      </w:r>
      <w:r>
        <w:br/>
      </w:r>
      <w:r>
        <w:rPr>
          <w:rStyle w:val="VerbatimChar"/>
        </w:rPr>
        <w:t xml:space="preserve">## [6,] 0.9741455 0.9952334 0.9359849 0.7709410 0.7096152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0.987082462529246 MAPE: 0.0332009536240121"</w:t>
      </w:r>
      <w:r>
        <w:br/>
      </w:r>
      <w:r>
        <w:rPr>
          <w:rStyle w:val="VerbatimChar"/>
        </w:rPr>
        <w:t xml:space="preserve">## [1] "t3 R2 test: 0.998905842302028 MAPE: 0.0308562344710436"</w:t>
      </w:r>
      <w:r>
        <w:br/>
      </w:r>
      <w:r>
        <w:rPr>
          <w:rStyle w:val="VerbatimChar"/>
        </w:rPr>
        <w:t xml:space="preserve">## [1] "t2 R2 test: 0.996859234882616 MAPE: 0.041215691069462"</w:t>
      </w:r>
      <w:r>
        <w:br/>
      </w:r>
      <w:r>
        <w:rPr>
          <w:rStyle w:val="VerbatimChar"/>
        </w:rPr>
        <w:t xml:space="preserve">## [1] "t1 R2 test: 0.998716890360968 MAPE: 0.039237681170655"</w:t>
      </w:r>
      <w:r>
        <w:br/>
      </w:r>
      <w:r>
        <w:rPr>
          <w:rStyle w:val="VerbatimChar"/>
        </w:rPr>
        <w:t xml:space="preserve">## [1] "t0 R2 test: 0.999328826907574 MAPE: 0.0146195240828952"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0.996178651396487 MAPE: 0.0318260168836136"</w:t>
      </w:r>
    </w:p>
    <w:p>
      <w:pPr>
        <w:pStyle w:val="SourceCode"/>
      </w:pPr>
      <w:r>
        <w:rPr>
          <w:rStyle w:val="CommentTok"/>
        </w:rPr>
        <w:t xml:space="preserve"># Note: the noise level impacts reconstruction capacity.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Vincent, P., Larochelle, H., Bengio, Y., &amp; Manzagol, P. A. (2008). Extracting and composing robust features with denoising autoencoders. ICML.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2025-11-07T18:14:02Z</dcterms:created>
  <dcterms:modified xsi:type="dcterms:W3CDTF">2025-11-07T18:14:02Z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