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dversarial-autoencoder-encode-decode"/>
    <w:p>
      <w:pPr>
        <w:pStyle w:val="Heading2"/>
      </w:pPr>
      <w:r>
        <w:t xml:space="preserve">Adversarial Autoencoder (encode-decode)</w:t>
      </w:r>
    </w:p>
    <w:p>
      <w:pPr>
        <w:pStyle w:val="FirstParagraph"/>
      </w:pPr>
      <w:r>
        <w:t xml:space="preserve">An AAE couples reconstruction loss with an adversarial game in latent space. A discriminator distinguishes samples from the encoder vs. the prior, while the encoder seeks to fool it, aligning the aggregate posterior with the chosen prior distribution.</w:t>
      </w:r>
    </w:p>
    <w:p>
      <w:pPr>
        <w:pStyle w:val="BodyText"/>
      </w:pPr>
      <w:r>
        <w:t xml:space="preserve">This example shows how to train and use an Adversarial Autoencoder (AAE) in encode-decode mode: the model compresses windows from p to k dimensions and then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Evaluation: reconstruction quality measured, for example, via R2 and MAPE per window column.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</w:t>
      </w:r>
      <w:r>
        <w:t xml:space="preserve"> </w:t>
      </w:r>
      <w:r>
        <w:t xml:space="preserve">influence convergence and adversarial stability.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adversarial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autoenc_adv_ed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Reconstruction quality is affected by both decoder width and discriminator strength, so vary them together during tuning.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adv_ed_files/bcf2d1d41c547208570ead176c43f563556cd75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generated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0.8019166 0.8486005 0.8751988 0.8563925 0.8641827</w:t>
      </w:r>
      <w:r>
        <w:br/>
      </w:r>
      <w:r>
        <w:rPr>
          <w:rStyle w:val="VerbatimChar"/>
        </w:rPr>
        <w:t xml:space="preserve">## [2,] 0.8211584 0.8689703 0.8944330 0.8771598 0.8852724</w:t>
      </w:r>
      <w:r>
        <w:br/>
      </w:r>
      <w:r>
        <w:rPr>
          <w:rStyle w:val="VerbatimChar"/>
        </w:rPr>
        <w:t xml:space="preserve">## [3,] 0.8289450 0.8768257 0.9017532 0.8850442 0.8931233</w:t>
      </w:r>
      <w:r>
        <w:br/>
      </w:r>
      <w:r>
        <w:rPr>
          <w:rStyle w:val="VerbatimChar"/>
        </w:rPr>
        <w:t xml:space="preserve">## [4,] 0.8266264 0.8742878 0.8995731 0.8825477 0.8905457</w:t>
      </w:r>
      <w:r>
        <w:br/>
      </w:r>
      <w:r>
        <w:rPr>
          <w:rStyle w:val="VerbatimChar"/>
        </w:rPr>
        <w:t xml:space="preserve">## [5,] 0.8142938 0.8611664 0.8876624 0.8694324 0.8771587</w:t>
      </w:r>
      <w:r>
        <w:br/>
      </w:r>
      <w:r>
        <w:rPr>
          <w:rStyle w:val="VerbatimChar"/>
        </w:rPr>
        <w:t xml:space="preserve">## [6,] 0.7907827 0.8340929 0.8626261 0.8423221 0.8493330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CommentTok"/>
        </w:rPr>
        <w:t xml:space="preserve"># Note: MAPE can be sensitive to values close to zero.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0.346790128849486 MAPE: 0.174326545975345"</w:t>
      </w:r>
      <w:r>
        <w:br/>
      </w:r>
      <w:r>
        <w:rPr>
          <w:rStyle w:val="VerbatimChar"/>
        </w:rPr>
        <w:t xml:space="preserve">## [1] "t3 R2 test: 0.880207071298667 MAPE: 0.113554721032853"</w:t>
      </w:r>
      <w:r>
        <w:br/>
      </w:r>
      <w:r>
        <w:rPr>
          <w:rStyle w:val="VerbatimChar"/>
        </w:rPr>
        <w:t xml:space="preserve">## [1] "t2 R2 test: 0.929391465513216 MAPE: 0.0690679697481482"</w:t>
      </w:r>
      <w:r>
        <w:br/>
      </w:r>
      <w:r>
        <w:rPr>
          <w:rStyle w:val="VerbatimChar"/>
        </w:rPr>
        <w:t xml:space="preserve">## [1] "t1 R2 test: 0.885354337894301 MAPE: 0.15098765531857"</w:t>
      </w:r>
      <w:r>
        <w:br/>
      </w:r>
      <w:r>
        <w:rPr>
          <w:rStyle w:val="VerbatimChar"/>
        </w:rPr>
        <w:t xml:space="preserve">## [1] "t0 R2 test: 0.845175226439221 MAPE: 0.344213486920192"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0.777383645998978 MAPE: 0.170430075799022"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Makhzani, A., Shlens, J., Jaitly, N., Goodfellow, I., &amp; Frey, B. (2015). Adversarial Autoencoders. arXiv:1511.05644.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2026-05-11T14:58:17Z</dcterms:created>
  <dcterms:modified xsi:type="dcterms:W3CDTF">2026-05-11T14:58:17Z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