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gression-examples"/>
    <w:p>
      <w:pPr>
        <w:pStyle w:val="Heading1"/>
      </w:pPr>
      <w:r>
        <w:t xml:space="preserve">Regression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regressor now supports configurable hidden activation, output activation, hidden normalization, and weight initialization, beyond hidden-size and dropout tuning.</w:t>
      </w:r>
    </w:p>
    <w:p>
      <w:pPr>
        <w:pStyle w:val="BodyText"/>
      </w:pPr>
      <w:r>
        <w:t xml:space="preserve">These examples show Python-backed regression wrappers integrated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The main use case here is numeric prediction with the same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pattern used by DAL learners.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torch_reg_mlp.md</w:t>
        </w:r>
      </w:hyperlink>
      <w:r>
        <w:t xml:space="preserve"> </w:t>
      </w:r>
      <w:r>
        <w:t xml:space="preserve">— PyTorch MLP regressor: nonlinear regression with a feedforward neural network and configurable static/dynamic validation strategies.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torch_reg_ml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torch_reg_ml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2026-05-11T16:19:51Z</dcterms:created>
  <dcterms:modified xsi:type="dcterms:W3CDTF">2026-05-11T16:19:51Z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