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bbc804b58d9476b7a26a42a52c48a4b9b6964fb"/>
    <w:p>
      <w:pPr>
        <w:pStyle w:val="Heading2"/>
      </w:pPr>
      <w:r>
        <w:t xml:space="preserve">22. Autoencoder (Encode-Decode) with Dynamic Validation and Patience</w:t>
      </w:r>
    </w:p>
    <w:p>
      <w:pPr>
        <w:pStyle w:val="FirstParagraph"/>
      </w:pPr>
      <w:r>
        <w:t xml:space="preserve">This example keeps the same simple dense autoencoder architecture, but redraws the validation split at each epoch. It is useful when a single fixed holdout seems too brittle for the available data.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recent validation values stop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realized duration depends on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191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2_autoenc_ed_dynamic_patience_files/f7e197da852e0c5bbf12a2bdad17bedc2f0e94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0.7272145 0.8416952 0.9162877 0.9812795 0.9987463</w:t>
      </w:r>
      <w:r>
        <w:br/>
      </w:r>
      <w:r>
        <w:rPr>
          <w:rStyle w:val="VerbatimChar"/>
        </w:rPr>
        <w:t xml:space="preserve">## 2 0.8338955 0.9208204 0.9835491 1.0082768 1.0041821</w:t>
      </w:r>
      <w:r>
        <w:br/>
      </w:r>
      <w:r>
        <w:rPr>
          <w:rStyle w:val="VerbatimChar"/>
        </w:rPr>
        <w:t xml:space="preserve">## 3 0.9174085 0.9757255 1.0199726 0.9960328 0.9736101</w:t>
      </w:r>
      <w:r>
        <w:br/>
      </w:r>
      <w:r>
        <w:rPr>
          <w:rStyle w:val="VerbatimChar"/>
        </w:rPr>
        <w:t xml:space="preserve">## 4 0.9751599 0.9953209 1.0174067 0.9509295 0.9064904</w:t>
      </w:r>
      <w:r>
        <w:br/>
      </w:r>
      <w:r>
        <w:rPr>
          <w:rStyle w:val="VerbatimChar"/>
        </w:rPr>
        <w:t xml:space="preserve">## 5 1.0066568 0.9828507 0.9758416 0.8848104 0.8134078</w:t>
      </w:r>
      <w:r>
        <w:br/>
      </w:r>
      <w:r>
        <w:rPr>
          <w:rStyle w:val="VerbatimChar"/>
        </w:rPr>
        <w:t xml:space="preserve">## 6 1.0067916 0.9446971 0.9037933 0.7955368 0.7033316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0.992880837781842 MAPE: 0.0127197616950816"</w:t>
      </w:r>
      <w:r>
        <w:br/>
      </w:r>
      <w:r>
        <w:rPr>
          <w:rStyle w:val="VerbatimChar"/>
        </w:rPr>
        <w:t xml:space="preserve">## [1] "t3 R2 test: 0.992308828300586 MAPE: 0.019284914546862"</w:t>
      </w:r>
      <w:r>
        <w:br/>
      </w:r>
      <w:r>
        <w:rPr>
          <w:rStyle w:val="VerbatimChar"/>
        </w:rPr>
        <w:t xml:space="preserve">## [1] "t2 R2 test: 0.999829072983068 MAPE: 0.0280187827773482"</w:t>
      </w:r>
      <w:r>
        <w:br/>
      </w:r>
      <w:r>
        <w:rPr>
          <w:rStyle w:val="VerbatimChar"/>
        </w:rPr>
        <w:t xml:space="preserve">## [1] "t1 R2 test: 0.997425874770543 MAPE: 0.0156950611162159"</w:t>
      </w:r>
      <w:r>
        <w:br/>
      </w:r>
      <w:r>
        <w:rPr>
          <w:rStyle w:val="VerbatimChar"/>
        </w:rPr>
        <w:t xml:space="preserve">## [1] "t0 R2 test: 0.999879039165739 MAPE: 0.0193227859492799"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0.996464730600356 MAPE: 0.0190082612169575"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typically produces a noisier validation curve than the static case.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21_autoenc_ed_static_patience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2026-05-20T02:31:12Z</dcterms:created>
  <dcterms:modified xsi:type="dcterms:W3CDTF">2026-05-20T02:31:12Z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